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72200" w14:textId="77777777" w:rsidR="00415CFE" w:rsidRDefault="00415CFE" w:rsidP="00415CFE">
      <w:pPr>
        <w:pStyle w:val="SmallHeader"/>
        <w:jc w:val="center"/>
        <w:rPr>
          <w:lang w:eastAsia="ja-JP"/>
        </w:rPr>
      </w:pPr>
    </w:p>
    <w:p w14:paraId="040029E1" w14:textId="77777777" w:rsidR="00415CFE" w:rsidRDefault="00415CFE" w:rsidP="00415CFE">
      <w:pPr>
        <w:pStyle w:val="SmallHeader"/>
        <w:rPr>
          <w:lang w:eastAsia="ja-JP"/>
        </w:rPr>
      </w:pPr>
    </w:p>
    <w:p w14:paraId="155341FB" w14:textId="77777777" w:rsidR="00415CFE" w:rsidRDefault="00415CFE" w:rsidP="00415CFE">
      <w:pPr>
        <w:pStyle w:val="SmallHeader"/>
        <w:rPr>
          <w:lang w:eastAsia="ja-JP"/>
        </w:rPr>
      </w:pPr>
    </w:p>
    <w:p w14:paraId="3616F83A" w14:textId="77777777" w:rsidR="00415CFE" w:rsidRDefault="00415CFE" w:rsidP="00415CFE">
      <w:pPr>
        <w:pStyle w:val="SmallHeader"/>
        <w:rPr>
          <w:lang w:eastAsia="ja-JP"/>
        </w:rPr>
      </w:pPr>
    </w:p>
    <w:p w14:paraId="1FD4E188" w14:textId="77777777" w:rsidR="00415CFE" w:rsidRPr="00415CFE" w:rsidRDefault="00415CFE" w:rsidP="00415CFE">
      <w:pPr>
        <w:pStyle w:val="SmallHeader"/>
        <w:jc w:val="center"/>
        <w:rPr>
          <w:sz w:val="36"/>
          <w:szCs w:val="48"/>
          <w:lang w:eastAsia="ja-JP"/>
        </w:rPr>
      </w:pPr>
      <w:r w:rsidRPr="00415CFE">
        <w:rPr>
          <w:rFonts w:hint="eastAsia"/>
          <w:sz w:val="36"/>
          <w:szCs w:val="48"/>
          <w:lang w:eastAsia="ja-JP"/>
        </w:rPr>
        <w:t>北日本戦略再設計構想</w:t>
      </w:r>
    </w:p>
    <w:p w14:paraId="44DCD6AD" w14:textId="77777777" w:rsidR="00415CFE" w:rsidRPr="00415CFE" w:rsidRDefault="00415CFE" w:rsidP="00415CFE">
      <w:pPr>
        <w:pStyle w:val="SmallHeader"/>
        <w:jc w:val="center"/>
        <w:rPr>
          <w:sz w:val="36"/>
          <w:szCs w:val="48"/>
          <w:lang w:eastAsia="ja-JP"/>
        </w:rPr>
      </w:pPr>
      <w:r w:rsidRPr="00415CFE">
        <w:rPr>
          <w:rFonts w:hint="eastAsia"/>
          <w:sz w:val="36"/>
          <w:szCs w:val="48"/>
          <w:lang w:eastAsia="ja-JP"/>
        </w:rPr>
        <w:t>【内閣府向け説明資料】</w:t>
      </w:r>
    </w:p>
    <w:p w14:paraId="6D9F147D" w14:textId="6724947F" w:rsidR="00415CFE" w:rsidRPr="007C7587" w:rsidRDefault="00415CFE" w:rsidP="00415CFE">
      <w:pPr>
        <w:pStyle w:val="SmallHeader"/>
        <w:jc w:val="center"/>
        <w:rPr>
          <w:sz w:val="36"/>
          <w:szCs w:val="48"/>
          <w:lang w:eastAsia="ja-JP"/>
        </w:rPr>
      </w:pPr>
      <w:r w:rsidRPr="00415CFE">
        <w:rPr>
          <w:rFonts w:hint="eastAsia"/>
          <w:sz w:val="36"/>
          <w:szCs w:val="48"/>
          <w:lang w:eastAsia="ja-JP"/>
        </w:rPr>
        <w:t>関係府省庁横断調整・政策統合に関する説明資料</w:t>
      </w:r>
    </w:p>
    <w:p w14:paraId="0AE1F3B4" w14:textId="77777777" w:rsidR="00415CFE" w:rsidRDefault="00415CFE" w:rsidP="00415CFE">
      <w:pPr>
        <w:pStyle w:val="SmallHeader"/>
        <w:jc w:val="center"/>
        <w:rPr>
          <w:lang w:eastAsia="ja-JP"/>
        </w:rPr>
      </w:pPr>
    </w:p>
    <w:p w14:paraId="194EF046" w14:textId="77777777" w:rsidR="00415CFE" w:rsidRDefault="00415CFE" w:rsidP="00415CFE">
      <w:pPr>
        <w:pStyle w:val="SmallHeader"/>
        <w:jc w:val="center"/>
        <w:rPr>
          <w:lang w:eastAsia="ja-JP"/>
        </w:rPr>
      </w:pPr>
    </w:p>
    <w:p w14:paraId="04646388" w14:textId="77777777" w:rsidR="00415CFE" w:rsidRDefault="00415CFE" w:rsidP="00415CFE">
      <w:pPr>
        <w:pStyle w:val="SmallHeader"/>
        <w:jc w:val="center"/>
        <w:rPr>
          <w:lang w:eastAsia="ja-JP"/>
        </w:rPr>
      </w:pPr>
    </w:p>
    <w:p w14:paraId="1A4B116E" w14:textId="77777777" w:rsidR="00415CFE" w:rsidRDefault="00415CFE" w:rsidP="00415CFE">
      <w:pPr>
        <w:pStyle w:val="SmallHeader"/>
        <w:jc w:val="center"/>
        <w:rPr>
          <w:rFonts w:hint="eastAsia"/>
          <w:lang w:eastAsia="ja-JP"/>
        </w:rPr>
      </w:pPr>
    </w:p>
    <w:p w14:paraId="4CE86534" w14:textId="77777777" w:rsidR="00415CFE" w:rsidRPr="007C7587" w:rsidRDefault="00415CFE" w:rsidP="00415CFE">
      <w:pPr>
        <w:pStyle w:val="SmallHeader"/>
        <w:jc w:val="center"/>
        <w:rPr>
          <w:sz w:val="22"/>
          <w:szCs w:val="32"/>
          <w:lang w:eastAsia="ja-JP"/>
        </w:rPr>
      </w:pPr>
      <w:r w:rsidRPr="007C7587">
        <w:rPr>
          <w:rFonts w:hint="eastAsia"/>
          <w:sz w:val="22"/>
          <w:szCs w:val="32"/>
          <w:lang w:eastAsia="ja-JP"/>
        </w:rPr>
        <w:t>提出者：新岡</w:t>
      </w:r>
      <w:r w:rsidRPr="007C7587">
        <w:rPr>
          <w:sz w:val="22"/>
          <w:szCs w:val="32"/>
          <w:lang w:eastAsia="ja-JP"/>
        </w:rPr>
        <w:t xml:space="preserve"> 昌心</w:t>
      </w:r>
    </w:p>
    <w:p w14:paraId="0A7F573B" w14:textId="77777777" w:rsidR="00415CFE" w:rsidRPr="007C7587" w:rsidRDefault="00415CFE" w:rsidP="00415CFE">
      <w:pPr>
        <w:pStyle w:val="SmallHeader"/>
        <w:jc w:val="center"/>
        <w:rPr>
          <w:sz w:val="22"/>
          <w:szCs w:val="32"/>
          <w:lang w:eastAsia="ja-JP"/>
        </w:rPr>
      </w:pPr>
      <w:r w:rsidRPr="007C7587">
        <w:rPr>
          <w:rFonts w:hint="eastAsia"/>
          <w:sz w:val="22"/>
          <w:szCs w:val="32"/>
          <w:lang w:eastAsia="ja-JP"/>
        </w:rPr>
        <w:t>提出日：令和○年○月○日</w:t>
      </w:r>
    </w:p>
    <w:p w14:paraId="6AAD8EF3" w14:textId="77777777" w:rsidR="00415CFE" w:rsidRPr="00415CFE" w:rsidRDefault="00415CFE">
      <w:pPr>
        <w:spacing w:after="40"/>
        <w:jc w:val="center"/>
        <w:rPr>
          <w:b/>
          <w:color w:val="1F3756"/>
          <w:sz w:val="26"/>
          <w:lang w:eastAsia="ja-JP"/>
        </w:rPr>
      </w:pPr>
    </w:p>
    <w:p w14:paraId="280E9EAD" w14:textId="77777777" w:rsidR="00415CFE" w:rsidRDefault="00415CFE">
      <w:pPr>
        <w:spacing w:after="40"/>
        <w:jc w:val="center"/>
        <w:rPr>
          <w:b/>
          <w:color w:val="1F3756"/>
          <w:sz w:val="26"/>
          <w:lang w:eastAsia="ja-JP"/>
        </w:rPr>
      </w:pPr>
    </w:p>
    <w:p w14:paraId="576868A3" w14:textId="77777777" w:rsidR="00415CFE" w:rsidRDefault="00415CFE">
      <w:pPr>
        <w:spacing w:after="40"/>
        <w:jc w:val="center"/>
        <w:rPr>
          <w:b/>
          <w:color w:val="1F3756"/>
          <w:sz w:val="26"/>
          <w:lang w:eastAsia="ja-JP"/>
        </w:rPr>
      </w:pPr>
    </w:p>
    <w:p w14:paraId="1ACFF1FE" w14:textId="77777777" w:rsidR="00415CFE" w:rsidRDefault="00415CFE">
      <w:pPr>
        <w:spacing w:after="40"/>
        <w:jc w:val="center"/>
        <w:rPr>
          <w:b/>
          <w:color w:val="1F3756"/>
          <w:sz w:val="26"/>
          <w:lang w:eastAsia="ja-JP"/>
        </w:rPr>
      </w:pPr>
    </w:p>
    <w:p w14:paraId="6B1900BE" w14:textId="77777777" w:rsidR="00415CFE" w:rsidRDefault="00415CFE">
      <w:pPr>
        <w:spacing w:after="40"/>
        <w:jc w:val="center"/>
        <w:rPr>
          <w:b/>
          <w:color w:val="1F3756"/>
          <w:sz w:val="26"/>
          <w:lang w:eastAsia="ja-JP"/>
        </w:rPr>
      </w:pPr>
    </w:p>
    <w:p w14:paraId="2AF46C4E" w14:textId="77777777" w:rsidR="00415CFE" w:rsidRDefault="00415CFE">
      <w:pPr>
        <w:spacing w:after="40"/>
        <w:jc w:val="center"/>
        <w:rPr>
          <w:b/>
          <w:color w:val="1F3756"/>
          <w:sz w:val="26"/>
          <w:lang w:eastAsia="ja-JP"/>
        </w:rPr>
      </w:pPr>
    </w:p>
    <w:p w14:paraId="5983197E" w14:textId="77777777" w:rsidR="00415CFE" w:rsidRDefault="00415CFE">
      <w:pPr>
        <w:spacing w:after="40"/>
        <w:jc w:val="center"/>
        <w:rPr>
          <w:b/>
          <w:color w:val="1F3756"/>
          <w:sz w:val="26"/>
          <w:lang w:eastAsia="ja-JP"/>
        </w:rPr>
      </w:pPr>
    </w:p>
    <w:p w14:paraId="65241972" w14:textId="77777777" w:rsidR="00415CFE" w:rsidRDefault="00415CFE">
      <w:pPr>
        <w:spacing w:after="40"/>
        <w:jc w:val="center"/>
        <w:rPr>
          <w:b/>
          <w:color w:val="1F3756"/>
          <w:sz w:val="26"/>
          <w:lang w:eastAsia="ja-JP"/>
        </w:rPr>
      </w:pPr>
    </w:p>
    <w:p w14:paraId="1F08EE98" w14:textId="77777777" w:rsidR="00415CFE" w:rsidRDefault="00415CFE">
      <w:pPr>
        <w:spacing w:after="40"/>
        <w:jc w:val="center"/>
        <w:rPr>
          <w:b/>
          <w:color w:val="1F3756"/>
          <w:sz w:val="26"/>
          <w:lang w:eastAsia="ja-JP"/>
        </w:rPr>
      </w:pPr>
    </w:p>
    <w:p w14:paraId="477A3950" w14:textId="77777777" w:rsidR="00415CFE" w:rsidRDefault="00415CFE">
      <w:pPr>
        <w:spacing w:after="40"/>
        <w:jc w:val="center"/>
        <w:rPr>
          <w:b/>
          <w:color w:val="1F3756"/>
          <w:sz w:val="26"/>
          <w:lang w:eastAsia="ja-JP"/>
        </w:rPr>
      </w:pPr>
    </w:p>
    <w:p w14:paraId="04B47237" w14:textId="77777777" w:rsidR="00415CFE" w:rsidRDefault="00415CFE">
      <w:pPr>
        <w:spacing w:after="40"/>
        <w:jc w:val="center"/>
        <w:rPr>
          <w:b/>
          <w:color w:val="1F3756"/>
          <w:sz w:val="26"/>
          <w:lang w:eastAsia="ja-JP"/>
        </w:rPr>
      </w:pPr>
    </w:p>
    <w:p w14:paraId="0551A970" w14:textId="77777777" w:rsidR="00415CFE" w:rsidRDefault="00415CFE">
      <w:pPr>
        <w:spacing w:after="40"/>
        <w:jc w:val="center"/>
        <w:rPr>
          <w:b/>
          <w:color w:val="1F3756"/>
          <w:sz w:val="26"/>
          <w:lang w:eastAsia="ja-JP"/>
        </w:rPr>
      </w:pPr>
    </w:p>
    <w:p w14:paraId="643ECC7A" w14:textId="77777777" w:rsidR="00415CFE" w:rsidRDefault="00415CFE">
      <w:pPr>
        <w:spacing w:after="40"/>
        <w:jc w:val="center"/>
        <w:rPr>
          <w:b/>
          <w:color w:val="1F3756"/>
          <w:sz w:val="26"/>
          <w:lang w:eastAsia="ja-JP"/>
        </w:rPr>
      </w:pPr>
    </w:p>
    <w:p w14:paraId="5F0A0682" w14:textId="77777777" w:rsidR="00415CFE" w:rsidRDefault="00415CFE">
      <w:pPr>
        <w:spacing w:after="40"/>
        <w:jc w:val="center"/>
        <w:rPr>
          <w:rFonts w:hint="eastAsia"/>
          <w:b/>
          <w:color w:val="1F3756"/>
          <w:sz w:val="26"/>
          <w:lang w:eastAsia="ja-JP"/>
        </w:rPr>
      </w:pPr>
    </w:p>
    <w:p w14:paraId="506C20A9" w14:textId="77777777" w:rsidR="00415CFE" w:rsidRDefault="00415CFE">
      <w:pPr>
        <w:spacing w:after="40"/>
        <w:jc w:val="center"/>
        <w:rPr>
          <w:b/>
          <w:color w:val="1F3756"/>
          <w:sz w:val="26"/>
          <w:lang w:eastAsia="ja-JP"/>
        </w:rPr>
      </w:pPr>
    </w:p>
    <w:p w14:paraId="7A1BF47E" w14:textId="77777777" w:rsidR="00415CFE" w:rsidRDefault="00415CFE">
      <w:pPr>
        <w:spacing w:after="40"/>
        <w:jc w:val="center"/>
        <w:rPr>
          <w:b/>
          <w:color w:val="1F3756"/>
          <w:sz w:val="26"/>
          <w:lang w:eastAsia="ja-JP"/>
        </w:rPr>
      </w:pPr>
    </w:p>
    <w:p w14:paraId="3C3714EE" w14:textId="5F2DC643" w:rsidR="00BB796F" w:rsidRPr="00415CFE" w:rsidRDefault="00000000" w:rsidP="00415CFE">
      <w:pPr>
        <w:spacing w:after="40"/>
        <w:jc w:val="right"/>
        <w:rPr>
          <w:sz w:val="12"/>
          <w:szCs w:val="14"/>
          <w:lang w:eastAsia="ja-JP"/>
        </w:rPr>
      </w:pPr>
      <w:r w:rsidRPr="00415CFE">
        <w:rPr>
          <w:b/>
          <w:sz w:val="18"/>
          <w:szCs w:val="14"/>
          <w:lang w:eastAsia="ja-JP"/>
        </w:rPr>
        <w:lastRenderedPageBreak/>
        <w:t>内閣府向け／説明資料（案）</w:t>
      </w:r>
    </w:p>
    <w:p w14:paraId="282AB4AC" w14:textId="77777777" w:rsidR="00BB796F" w:rsidRPr="00415CFE" w:rsidRDefault="00000000">
      <w:pPr>
        <w:spacing w:after="20"/>
        <w:jc w:val="center"/>
        <w:rPr>
          <w:lang w:eastAsia="ja-JP"/>
        </w:rPr>
      </w:pPr>
      <w:r w:rsidRPr="00415CFE">
        <w:rPr>
          <w:b/>
          <w:sz w:val="32"/>
          <w:lang w:eastAsia="ja-JP"/>
        </w:rPr>
        <w:t>北日本戦略再設計構想</w:t>
      </w:r>
    </w:p>
    <w:p w14:paraId="0961E588" w14:textId="77777777" w:rsidR="00BB796F" w:rsidRDefault="00000000">
      <w:pPr>
        <w:spacing w:after="20"/>
        <w:jc w:val="center"/>
        <w:rPr>
          <w:lang w:eastAsia="ja-JP"/>
        </w:rPr>
      </w:pPr>
      <w:r>
        <w:rPr>
          <w:sz w:val="25"/>
          <w:lang w:eastAsia="ja-JP"/>
        </w:rPr>
        <w:t>関係府省庁横断調整・政策統合に関する説明資料</w:t>
      </w:r>
    </w:p>
    <w:p w14:paraId="0BAF4AFB" w14:textId="61999F01" w:rsidR="00BB796F" w:rsidRDefault="00BB796F">
      <w:pPr>
        <w:spacing w:after="160"/>
        <w:jc w:val="center"/>
      </w:pPr>
    </w:p>
    <w:tbl>
      <w:tblPr>
        <w:tblW w:w="0" w:type="auto"/>
        <w:tblBorders>
          <w:top w:val="nil"/>
          <w:left w:val="nil"/>
          <w:bottom w:val="nil"/>
          <w:right w:val="nil"/>
          <w:insideH w:val="nil"/>
          <w:insideV w:val="nil"/>
        </w:tblBorders>
        <w:tblLayout w:type="fixed"/>
        <w:tblLook w:val="04A0" w:firstRow="1" w:lastRow="0" w:firstColumn="1" w:lastColumn="0" w:noHBand="0" w:noVBand="1"/>
      </w:tblPr>
      <w:tblGrid>
        <w:gridCol w:w="1923"/>
        <w:gridCol w:w="7569"/>
      </w:tblGrid>
      <w:tr w:rsidR="00BB796F" w14:paraId="10BD76CE" w14:textId="77777777" w:rsidTr="00415CFE">
        <w:trPr>
          <w:trHeight w:val="997"/>
        </w:trPr>
        <w:tc>
          <w:tcPr>
            <w:tcW w:w="1923" w:type="dxa"/>
            <w:shd w:val="clear" w:color="auto" w:fill="D9E2F3"/>
            <w:tcMar>
              <w:top w:w="90" w:type="dxa"/>
              <w:left w:w="120" w:type="dxa"/>
              <w:bottom w:w="90" w:type="dxa"/>
              <w:right w:w="120" w:type="dxa"/>
            </w:tcMar>
          </w:tcPr>
          <w:p w14:paraId="5EDC37FA" w14:textId="77777777" w:rsidR="00BB796F" w:rsidRDefault="00000000">
            <w:pPr>
              <w:spacing w:after="0"/>
              <w:jc w:val="center"/>
            </w:pPr>
            <w:r>
              <w:rPr>
                <w:b/>
              </w:rPr>
              <w:t>作成目的</w:t>
            </w:r>
          </w:p>
        </w:tc>
        <w:tc>
          <w:tcPr>
            <w:tcW w:w="7569" w:type="dxa"/>
            <w:tcMar>
              <w:top w:w="90" w:type="dxa"/>
              <w:left w:w="160" w:type="dxa"/>
              <w:bottom w:w="90" w:type="dxa"/>
              <w:right w:w="160" w:type="dxa"/>
            </w:tcMar>
          </w:tcPr>
          <w:p w14:paraId="415C65E2" w14:textId="77777777" w:rsidR="00BB796F" w:rsidRDefault="00000000">
            <w:pPr>
              <w:spacing w:after="0" w:line="300" w:lineRule="auto"/>
              <w:rPr>
                <w:lang w:eastAsia="ja-JP"/>
              </w:rPr>
            </w:pPr>
            <w:r>
              <w:rPr>
                <w:lang w:eastAsia="ja-JP"/>
              </w:rPr>
              <w:t>本資料は、北日本戦略再設計構想について、関係府省庁横断調整、政策統合、工程管理及び国家戦略上の位置づけの観点から整理し、内閣府向け説明用資料として取りまとめるものである。</w:t>
            </w:r>
          </w:p>
        </w:tc>
      </w:tr>
    </w:tbl>
    <w:p w14:paraId="4F837F4C" w14:textId="77777777" w:rsidR="00BB796F" w:rsidRDefault="00BB796F">
      <w:pPr>
        <w:spacing w:after="40"/>
        <w:rPr>
          <w:lang w:eastAsia="ja-JP"/>
        </w:rPr>
      </w:pPr>
    </w:p>
    <w:tbl>
      <w:tblPr>
        <w:tblW w:w="0" w:type="auto"/>
        <w:tblBorders>
          <w:top w:val="nil"/>
          <w:left w:val="nil"/>
          <w:bottom w:val="nil"/>
          <w:right w:val="nil"/>
          <w:insideH w:val="nil"/>
          <w:insideV w:val="nil"/>
        </w:tblBorders>
        <w:tblLayout w:type="fixed"/>
        <w:tblLook w:val="04A0" w:firstRow="1" w:lastRow="0" w:firstColumn="1" w:lastColumn="0" w:noHBand="0" w:noVBand="1"/>
      </w:tblPr>
      <w:tblGrid>
        <w:gridCol w:w="1964"/>
        <w:gridCol w:w="7724"/>
      </w:tblGrid>
      <w:tr w:rsidR="00BB796F" w14:paraId="790B95B7" w14:textId="77777777" w:rsidTr="00415CFE">
        <w:trPr>
          <w:trHeight w:val="1068"/>
        </w:trPr>
        <w:tc>
          <w:tcPr>
            <w:tcW w:w="1964" w:type="dxa"/>
            <w:shd w:val="clear" w:color="auto" w:fill="D9E2F3"/>
            <w:tcMar>
              <w:top w:w="90" w:type="dxa"/>
              <w:left w:w="120" w:type="dxa"/>
              <w:bottom w:w="90" w:type="dxa"/>
              <w:right w:w="120" w:type="dxa"/>
            </w:tcMar>
          </w:tcPr>
          <w:p w14:paraId="02B764E0" w14:textId="77777777" w:rsidR="00BB796F" w:rsidRDefault="00000000">
            <w:pPr>
              <w:spacing w:after="0"/>
              <w:jc w:val="center"/>
            </w:pPr>
            <w:proofErr w:type="spellStart"/>
            <w:r>
              <w:rPr>
                <w:b/>
              </w:rPr>
              <w:t>位置づけ</w:t>
            </w:r>
            <w:proofErr w:type="spellEnd"/>
          </w:p>
        </w:tc>
        <w:tc>
          <w:tcPr>
            <w:tcW w:w="7724" w:type="dxa"/>
            <w:tcMar>
              <w:top w:w="90" w:type="dxa"/>
              <w:left w:w="160" w:type="dxa"/>
              <w:bottom w:w="90" w:type="dxa"/>
              <w:right w:w="160" w:type="dxa"/>
            </w:tcMar>
          </w:tcPr>
          <w:p w14:paraId="50A585D1" w14:textId="77777777" w:rsidR="00BB796F" w:rsidRDefault="00000000">
            <w:pPr>
              <w:spacing w:after="0" w:line="300" w:lineRule="auto"/>
              <w:rPr>
                <w:lang w:eastAsia="ja-JP"/>
              </w:rPr>
            </w:pPr>
            <w:r>
              <w:rPr>
                <w:lang w:eastAsia="ja-JP"/>
              </w:rPr>
              <w:t>本資料は総合版から内閣府向け論点を抽出した説明資料であり、記載内容については、今後、関係府省庁との役割分担、制度工程及び既存政策との整合性を踏まえてさらに精査する前提で整理したものである。</w:t>
            </w:r>
          </w:p>
        </w:tc>
      </w:tr>
    </w:tbl>
    <w:p w14:paraId="4C7B88D0" w14:textId="77777777" w:rsidR="00BB796F" w:rsidRDefault="00BB796F">
      <w:pPr>
        <w:spacing w:after="40"/>
        <w:rPr>
          <w:lang w:eastAsia="ja-JP"/>
        </w:rPr>
      </w:pPr>
    </w:p>
    <w:p w14:paraId="0A8DB7F1" w14:textId="77777777" w:rsidR="00415CFE" w:rsidRPr="00415CFE" w:rsidRDefault="00415CFE" w:rsidP="00415CFE">
      <w:pPr>
        <w:keepNext/>
        <w:keepLines/>
        <w:spacing w:before="200" w:after="80" w:line="288" w:lineRule="auto"/>
        <w:outlineLvl w:val="0"/>
        <w:rPr>
          <w:rFonts w:asciiTheme="majorHAnsi" w:eastAsiaTheme="majorEastAsia" w:hAnsiTheme="majorHAnsi" w:cstheme="majorBidi"/>
          <w:b/>
          <w:bCs/>
          <w:color w:val="365F91" w:themeColor="accent1" w:themeShade="BF"/>
          <w:sz w:val="26"/>
          <w:szCs w:val="28"/>
          <w:lang w:eastAsia="ja-JP"/>
        </w:rPr>
      </w:pPr>
      <w:r w:rsidRPr="00415CFE">
        <w:rPr>
          <w:rFonts w:asciiTheme="majorHAnsi" w:eastAsiaTheme="majorEastAsia" w:hAnsiTheme="majorHAnsi" w:cstheme="majorBidi"/>
          <w:b/>
          <w:bCs/>
          <w:color w:val="365F91" w:themeColor="accent1" w:themeShade="BF"/>
          <w:sz w:val="26"/>
          <w:szCs w:val="28"/>
          <w:lang w:eastAsia="ja-JP"/>
        </w:rPr>
        <w:t>0</w:t>
      </w:r>
      <w:r w:rsidRPr="00415CFE">
        <w:rPr>
          <w:rFonts w:asciiTheme="majorHAnsi" w:eastAsiaTheme="majorEastAsia" w:hAnsiTheme="majorHAnsi" w:cstheme="majorBidi"/>
          <w:b/>
          <w:bCs/>
          <w:color w:val="365F91" w:themeColor="accent1" w:themeShade="BF"/>
          <w:sz w:val="26"/>
          <w:szCs w:val="28"/>
          <w:lang w:eastAsia="ja-JP"/>
        </w:rPr>
        <w:t>．要旨</w:t>
      </w:r>
    </w:p>
    <w:p w14:paraId="1A96BB74" w14:textId="77777777" w:rsidR="00415CFE" w:rsidRPr="00415CFE" w:rsidRDefault="00415CFE" w:rsidP="00415CFE">
      <w:pPr>
        <w:keepNext/>
        <w:keepLines/>
        <w:spacing w:before="120" w:after="40" w:line="288" w:lineRule="auto"/>
        <w:outlineLvl w:val="1"/>
        <w:rPr>
          <w:rFonts w:asciiTheme="majorHAnsi" w:eastAsiaTheme="majorEastAsia" w:hAnsiTheme="majorHAnsi" w:cstheme="majorBidi"/>
          <w:b/>
          <w:bCs/>
          <w:color w:val="4F81BD" w:themeColor="accent1"/>
          <w:sz w:val="23"/>
          <w:szCs w:val="26"/>
          <w:lang w:eastAsia="ja-JP"/>
        </w:rPr>
      </w:pPr>
      <w:r w:rsidRPr="00415CFE">
        <w:rPr>
          <w:rFonts w:asciiTheme="majorHAnsi" w:eastAsiaTheme="majorEastAsia" w:hAnsiTheme="majorHAnsi" w:cstheme="majorBidi"/>
          <w:b/>
          <w:bCs/>
          <w:color w:val="4F81BD" w:themeColor="accent1"/>
          <w:sz w:val="23"/>
          <w:szCs w:val="26"/>
          <w:lang w:eastAsia="ja-JP"/>
        </w:rPr>
        <w:t>0-1</w:t>
      </w:r>
      <w:r w:rsidRPr="00415CFE">
        <w:rPr>
          <w:rFonts w:asciiTheme="majorHAnsi" w:eastAsiaTheme="majorEastAsia" w:hAnsiTheme="majorHAnsi" w:cstheme="majorBidi"/>
          <w:b/>
          <w:bCs/>
          <w:color w:val="4F81BD" w:themeColor="accent1"/>
          <w:sz w:val="23"/>
          <w:szCs w:val="26"/>
          <w:lang w:eastAsia="ja-JP"/>
        </w:rPr>
        <w:t>．一行要旨</w:t>
      </w:r>
    </w:p>
    <w:p w14:paraId="5CB12E9E" w14:textId="77777777" w:rsidR="00BB796F" w:rsidRDefault="00000000">
      <w:pPr>
        <w:spacing w:after="80" w:line="324" w:lineRule="auto"/>
        <w:rPr>
          <w:lang w:eastAsia="ja-JP"/>
        </w:rPr>
      </w:pPr>
      <w:r>
        <w:rPr>
          <w:lang w:eastAsia="ja-JP"/>
        </w:rPr>
        <w:t>本構想は、北日本を起点として、経済、物流、エネルギー、計算基盤、安全保障上の冗長性及び国際共同投資を一体で再設計しようとするものであり、その具体化には内閣府による関係府省庁横断の政策統合が必要となる構想である。</w:t>
      </w:r>
    </w:p>
    <w:p w14:paraId="63032C19" w14:textId="77777777" w:rsidR="00415CFE" w:rsidRPr="00415CFE" w:rsidRDefault="00415CFE" w:rsidP="00415CFE">
      <w:pPr>
        <w:keepNext/>
        <w:keepLines/>
        <w:spacing w:before="120" w:after="40" w:line="288" w:lineRule="auto"/>
        <w:outlineLvl w:val="1"/>
        <w:rPr>
          <w:rFonts w:asciiTheme="majorHAnsi" w:eastAsiaTheme="majorEastAsia" w:hAnsiTheme="majorHAnsi" w:cstheme="majorBidi"/>
          <w:b/>
          <w:bCs/>
          <w:color w:val="4F81BD" w:themeColor="accent1"/>
          <w:sz w:val="23"/>
          <w:szCs w:val="26"/>
          <w:lang w:eastAsia="ja-JP"/>
        </w:rPr>
      </w:pPr>
      <w:r w:rsidRPr="00415CFE">
        <w:rPr>
          <w:rFonts w:asciiTheme="majorHAnsi" w:eastAsiaTheme="majorEastAsia" w:hAnsiTheme="majorHAnsi" w:cstheme="majorBidi"/>
          <w:b/>
          <w:bCs/>
          <w:color w:val="4F81BD" w:themeColor="accent1"/>
          <w:sz w:val="23"/>
          <w:szCs w:val="26"/>
          <w:lang w:eastAsia="ja-JP"/>
        </w:rPr>
        <w:t>0-2</w:t>
      </w:r>
      <w:r w:rsidRPr="00415CFE">
        <w:rPr>
          <w:rFonts w:asciiTheme="majorHAnsi" w:eastAsiaTheme="majorEastAsia" w:hAnsiTheme="majorHAnsi" w:cstheme="majorBidi"/>
          <w:b/>
          <w:bCs/>
          <w:color w:val="4F81BD" w:themeColor="accent1"/>
          <w:sz w:val="23"/>
          <w:szCs w:val="26"/>
          <w:lang w:eastAsia="ja-JP"/>
        </w:rPr>
        <w:t>．要点</w:t>
      </w:r>
    </w:p>
    <w:p w14:paraId="4F0755D6" w14:textId="77777777" w:rsidR="00BB796F" w:rsidRDefault="00000000">
      <w:pPr>
        <w:spacing w:after="20"/>
        <w:rPr>
          <w:lang w:eastAsia="ja-JP"/>
        </w:rPr>
      </w:pPr>
      <w:r>
        <w:rPr>
          <w:b/>
          <w:lang w:eastAsia="ja-JP"/>
        </w:rPr>
        <w:t>① 基本認識</w:t>
      </w:r>
    </w:p>
    <w:p w14:paraId="6774CA1B" w14:textId="77777777" w:rsidR="00BB796F" w:rsidRDefault="00000000">
      <w:pPr>
        <w:spacing w:after="80" w:line="324" w:lineRule="auto"/>
        <w:rPr>
          <w:lang w:eastAsia="ja-JP"/>
        </w:rPr>
      </w:pPr>
      <w:r>
        <w:rPr>
          <w:lang w:eastAsia="ja-JP"/>
        </w:rPr>
        <w:t>本構想は、首都圏への機能集中、巨大災害リスク、物流偏在、エネルギー制約、人口減少、安全保障環境の変化及びAI社会インフラ化に伴う新たな脆弱性に対応しようとするものであり、単独省庁による部分最適ではなく、国家戦略としての全体最適が求められる。</w:t>
      </w:r>
    </w:p>
    <w:p w14:paraId="0E99DC58" w14:textId="77777777" w:rsidR="00415CFE" w:rsidRDefault="00415CFE">
      <w:pPr>
        <w:spacing w:after="80" w:line="324" w:lineRule="auto"/>
        <w:rPr>
          <w:rFonts w:hint="eastAsia"/>
          <w:lang w:eastAsia="ja-JP"/>
        </w:rPr>
      </w:pPr>
    </w:p>
    <w:p w14:paraId="067A6613" w14:textId="77777777" w:rsidR="00BB796F" w:rsidRDefault="00000000">
      <w:pPr>
        <w:spacing w:after="20"/>
        <w:rPr>
          <w:lang w:eastAsia="ja-JP"/>
        </w:rPr>
      </w:pPr>
      <w:r>
        <w:rPr>
          <w:b/>
          <w:lang w:eastAsia="ja-JP"/>
        </w:rPr>
        <w:t>② 内閣府との接続</w:t>
      </w:r>
    </w:p>
    <w:p w14:paraId="20AA8879" w14:textId="77777777" w:rsidR="00BB796F" w:rsidRDefault="00000000">
      <w:pPr>
        <w:spacing w:after="80" w:line="324" w:lineRule="auto"/>
        <w:rPr>
          <w:lang w:eastAsia="ja-JP"/>
        </w:rPr>
      </w:pPr>
      <w:r>
        <w:rPr>
          <w:lang w:eastAsia="ja-JP"/>
        </w:rPr>
        <w:t>本構想は、財務、産業、国土交通、防衛、外交、デジタル、通信、社会保障、農林水産、環境、教育研究、法制度等の複数分野にまたがるため、関係府省庁横断の論点整理、工程管理及び優先順位付けを行う司令塔機能が必要となる。</w:t>
      </w:r>
    </w:p>
    <w:p w14:paraId="7E207232" w14:textId="77777777" w:rsidR="00415CFE" w:rsidRDefault="00415CFE">
      <w:pPr>
        <w:spacing w:after="80" w:line="324" w:lineRule="auto"/>
        <w:rPr>
          <w:rFonts w:hint="eastAsia"/>
          <w:lang w:eastAsia="ja-JP"/>
        </w:rPr>
      </w:pPr>
    </w:p>
    <w:p w14:paraId="49424BD2" w14:textId="77777777" w:rsidR="00BB796F" w:rsidRDefault="00000000">
      <w:pPr>
        <w:spacing w:after="20"/>
        <w:rPr>
          <w:lang w:eastAsia="ja-JP"/>
        </w:rPr>
      </w:pPr>
      <w:r>
        <w:rPr>
          <w:b/>
          <w:lang w:eastAsia="ja-JP"/>
        </w:rPr>
        <w:t>③ 政策的意義</w:t>
      </w:r>
    </w:p>
    <w:p w14:paraId="0F63842B" w14:textId="77777777" w:rsidR="00BB796F" w:rsidRDefault="00000000">
      <w:pPr>
        <w:spacing w:after="80" w:line="324" w:lineRule="auto"/>
        <w:rPr>
          <w:lang w:eastAsia="ja-JP"/>
        </w:rPr>
      </w:pPr>
      <w:r>
        <w:rPr>
          <w:lang w:eastAsia="ja-JP"/>
        </w:rPr>
        <w:t>四本の矢を統合的に実装し、青森・陸奥湾を起点とする分散国家基盤を形成することにより、国家継続性、地方再生、経済安全保障及び中長期的な制度持続性の向上を図る。</w:t>
      </w:r>
    </w:p>
    <w:p w14:paraId="02A57559" w14:textId="77777777" w:rsidR="00415CFE" w:rsidRDefault="00415CFE">
      <w:pPr>
        <w:spacing w:after="80" w:line="324" w:lineRule="auto"/>
        <w:rPr>
          <w:lang w:eastAsia="ja-JP"/>
        </w:rPr>
      </w:pPr>
    </w:p>
    <w:p w14:paraId="16D84903" w14:textId="77777777" w:rsidR="00415CFE" w:rsidRDefault="00415CFE">
      <w:pPr>
        <w:spacing w:after="80" w:line="324" w:lineRule="auto"/>
        <w:rPr>
          <w:rFonts w:hint="eastAsia"/>
          <w:lang w:eastAsia="ja-JP"/>
        </w:rPr>
      </w:pPr>
    </w:p>
    <w:p w14:paraId="77D22708" w14:textId="77777777" w:rsidR="00BB796F" w:rsidRPr="00415CFE" w:rsidRDefault="00000000">
      <w:pPr>
        <w:spacing w:before="160" w:after="60"/>
        <w:rPr>
          <w:rFonts w:ascii="ＭＳ ゴシック" w:eastAsia="ＭＳ ゴシック" w:hAnsi="ＭＳ ゴシック"/>
          <w:lang w:eastAsia="ja-JP"/>
        </w:rPr>
      </w:pPr>
      <w:r w:rsidRPr="00415CFE">
        <w:rPr>
          <w:rFonts w:ascii="ＭＳ ゴシック" w:eastAsia="ＭＳ ゴシック" w:hAnsi="ＭＳ ゴシック"/>
          <w:b/>
          <w:color w:val="1F3756"/>
          <w:sz w:val="24"/>
          <w:lang w:eastAsia="ja-JP"/>
        </w:rPr>
        <w:lastRenderedPageBreak/>
        <w:t>1．本構想の基本認識</w:t>
      </w:r>
    </w:p>
    <w:p w14:paraId="54304DB3" w14:textId="77777777" w:rsidR="00BB796F" w:rsidRDefault="00000000">
      <w:pPr>
        <w:spacing w:after="80" w:line="324" w:lineRule="auto"/>
        <w:rPr>
          <w:lang w:eastAsia="ja-JP"/>
        </w:rPr>
      </w:pPr>
      <w:r>
        <w:rPr>
          <w:lang w:eastAsia="ja-JP"/>
        </w:rPr>
        <w:t>本構想は、北日本戦略再設計構想を単なる地域振興策にとどめず、我が国の基盤機能を分散・再設計し、平時の成長投資と非常時の国家継続性確保を両立させようとするものである。すなわち、首都圏一極集中の下で高まる構造的脆弱性に対し、北日本に経済、物流、エネルギー、計算基盤及び継続性確保のレイヤーを形成することにより、日本全体の生存確率を高めようとする構想である。</w:t>
      </w:r>
    </w:p>
    <w:p w14:paraId="5C21A62A" w14:textId="77777777" w:rsidR="00BB796F" w:rsidRPr="00415CFE" w:rsidRDefault="00000000">
      <w:pPr>
        <w:spacing w:before="160" w:after="60"/>
        <w:rPr>
          <w:rFonts w:ascii="ＭＳ ゴシック" w:eastAsia="ＭＳ ゴシック" w:hAnsi="ＭＳ ゴシック"/>
          <w:lang w:eastAsia="ja-JP"/>
        </w:rPr>
      </w:pPr>
      <w:r w:rsidRPr="00415CFE">
        <w:rPr>
          <w:rFonts w:ascii="ＭＳ ゴシック" w:eastAsia="ＭＳ ゴシック" w:hAnsi="ＭＳ ゴシック"/>
          <w:b/>
          <w:color w:val="1F3756"/>
          <w:sz w:val="24"/>
          <w:lang w:eastAsia="ja-JP"/>
        </w:rPr>
        <w:t>2．青森・陸奥湾を起点とする理由</w:t>
      </w:r>
    </w:p>
    <w:p w14:paraId="11F086CE" w14:textId="77777777" w:rsidR="00BB796F" w:rsidRDefault="00000000">
      <w:pPr>
        <w:spacing w:after="80" w:line="324" w:lineRule="auto"/>
        <w:rPr>
          <w:lang w:eastAsia="ja-JP"/>
        </w:rPr>
      </w:pPr>
      <w:r>
        <w:rPr>
          <w:lang w:eastAsia="ja-JP"/>
        </w:rPr>
        <w:t>本構想において青森及び陸奥湾周辺を起点とする理由は、港湾・海域空間、冷涼環境、再生可能エネルギー、物流結節性及び既存の安全保障関連基盤が重なり、分散国家基盤の初期整備対象として高い政策的合理性を有するためである。特に陸奥湾は、我が国の主権下にある内湾として、外洋に比べて実証及び段階的整備の条件設定が行いやすく、軍事色を前面に出さずに民生中核海域として整理し得る点に特徴がある。</w:t>
      </w:r>
    </w:p>
    <w:p w14:paraId="537055BE" w14:textId="77777777" w:rsidR="00BB796F" w:rsidRPr="00415CFE" w:rsidRDefault="00000000">
      <w:pPr>
        <w:spacing w:before="160" w:after="60"/>
        <w:rPr>
          <w:rFonts w:ascii="ＭＳ ゴシック" w:eastAsia="ＭＳ ゴシック" w:hAnsi="ＭＳ ゴシック"/>
          <w:lang w:eastAsia="ja-JP"/>
        </w:rPr>
      </w:pPr>
      <w:r w:rsidRPr="00415CFE">
        <w:rPr>
          <w:rFonts w:ascii="ＭＳ ゴシック" w:eastAsia="ＭＳ ゴシック" w:hAnsi="ＭＳ ゴシック"/>
          <w:b/>
          <w:color w:val="1F3756"/>
          <w:sz w:val="24"/>
          <w:lang w:eastAsia="ja-JP"/>
        </w:rPr>
        <w:t>3．四本の矢の統合構造</w:t>
      </w:r>
    </w:p>
    <w:p w14:paraId="179629C0" w14:textId="77777777" w:rsidR="00BB796F" w:rsidRDefault="00000000">
      <w:pPr>
        <w:spacing w:after="80" w:line="324" w:lineRule="auto"/>
        <w:rPr>
          <w:lang w:eastAsia="ja-JP"/>
        </w:rPr>
      </w:pPr>
      <w:r>
        <w:rPr>
          <w:lang w:eastAsia="ja-JP"/>
        </w:rPr>
        <w:t>本構想は、四本の矢を相互に連関させて進めることを基本とする。</w:t>
      </w:r>
    </w:p>
    <w:p w14:paraId="76CC686A" w14:textId="77777777" w:rsidR="00BB796F" w:rsidRDefault="00000000">
      <w:pPr>
        <w:spacing w:after="80" w:line="324" w:lineRule="auto"/>
        <w:rPr>
          <w:lang w:eastAsia="ja-JP"/>
        </w:rPr>
      </w:pPr>
      <w:r>
        <w:rPr>
          <w:lang w:eastAsia="ja-JP"/>
        </w:rPr>
        <w:t>第一に、第一の矢は、北の経済・物流・エネルギー・計算基盤の整備であり、本構想の実体を成す。平時は成長投資として、非常時は国家継続性の保険として機能する。</w:t>
      </w:r>
    </w:p>
    <w:p w14:paraId="1ACE9728" w14:textId="77777777" w:rsidR="00BB796F" w:rsidRDefault="00000000">
      <w:pPr>
        <w:spacing w:after="80" w:line="324" w:lineRule="auto"/>
        <w:rPr>
          <w:lang w:eastAsia="ja-JP"/>
        </w:rPr>
      </w:pPr>
      <w:r>
        <w:rPr>
          <w:lang w:eastAsia="ja-JP"/>
        </w:rPr>
        <w:t>第二に、第二の矢は、三沢分散防衛拠点による首都圏機能の冗長化であり、航空、情報及び後方兵站の分散により、第一の矢を非常時にも機能させる継続性レイヤーを形成する。</w:t>
      </w:r>
    </w:p>
    <w:p w14:paraId="02899BB2" w14:textId="77777777" w:rsidR="00BB796F" w:rsidRDefault="00000000">
      <w:pPr>
        <w:spacing w:after="80" w:line="324" w:lineRule="auto"/>
        <w:rPr>
          <w:lang w:eastAsia="ja-JP"/>
        </w:rPr>
      </w:pPr>
      <w:r>
        <w:rPr>
          <w:lang w:eastAsia="ja-JP"/>
        </w:rPr>
        <w:t>第三に、第三の矢は、車力統合基地構想による日本海側の監視、観測、指揮及び通信機能の冗長化であり、日本海側から国家継続性を支える統合運用レイヤーを形成する。</w:t>
      </w:r>
    </w:p>
    <w:p w14:paraId="7426BE0C" w14:textId="77777777" w:rsidR="00BB796F" w:rsidRDefault="00000000">
      <w:pPr>
        <w:spacing w:after="80" w:line="324" w:lineRule="auto"/>
        <w:rPr>
          <w:lang w:eastAsia="ja-JP"/>
        </w:rPr>
      </w:pPr>
      <w:r>
        <w:rPr>
          <w:lang w:eastAsia="ja-JP"/>
        </w:rPr>
        <w:t>第四に、第四の矢は、NEASIFによる資本の国際共同化であり、軍拡ではなく、民間インフラ、エネルギー基盤及びデジタル基盤を対象として、利害共有型安全保障を構成するものである。</w:t>
      </w:r>
    </w:p>
    <w:p w14:paraId="0D55D005" w14:textId="77777777" w:rsidR="00BB796F" w:rsidRPr="00415CFE" w:rsidRDefault="00000000">
      <w:pPr>
        <w:spacing w:before="160" w:after="60"/>
        <w:rPr>
          <w:rFonts w:ascii="ＭＳ ゴシック" w:eastAsia="ＭＳ ゴシック" w:hAnsi="ＭＳ ゴシック"/>
          <w:lang w:eastAsia="ja-JP"/>
        </w:rPr>
      </w:pPr>
      <w:r w:rsidRPr="00415CFE">
        <w:rPr>
          <w:rFonts w:ascii="ＭＳ ゴシック" w:eastAsia="ＭＳ ゴシック" w:hAnsi="ＭＳ ゴシック"/>
          <w:b/>
          <w:color w:val="1F3756"/>
          <w:sz w:val="24"/>
          <w:lang w:eastAsia="ja-JP"/>
        </w:rPr>
        <w:t>4．なぜ内閣府案件なのか</w:t>
      </w:r>
    </w:p>
    <w:p w14:paraId="301A0B63" w14:textId="77777777" w:rsidR="00BB796F" w:rsidRDefault="00000000">
      <w:pPr>
        <w:spacing w:after="80" w:line="324" w:lineRule="auto"/>
        <w:rPr>
          <w:lang w:eastAsia="ja-JP"/>
        </w:rPr>
      </w:pPr>
      <w:r>
        <w:rPr>
          <w:lang w:eastAsia="ja-JP"/>
        </w:rPr>
        <w:t>本構想は、財務省による原資設計及び財政規律、経済産業省による産業・エネルギー政策、防衛省による継続性整合、国土交通省による港湾・物流・交通基盤、外務省による国際共同出資及び対外整合、デジタル庁及び総務省によるデータ・通信基盤、厚生労働省による就労継続及び重症化予防、農林水産省による漁業権及び地域調整、環境省による段階的環境影響評価、文部科学省による研究開発及び人材育成、法務省及び内閣法制局による制度実装整理等に関係する。このため、単独省庁ごとの部分最適ではなく、国家戦略としての目的設定、工程管理及び制度接続を担う上位の政策統合主体が必要となる。</w:t>
      </w:r>
    </w:p>
    <w:p w14:paraId="723397F3" w14:textId="77777777" w:rsidR="00BB796F" w:rsidRPr="00415CFE" w:rsidRDefault="00000000">
      <w:pPr>
        <w:spacing w:before="160" w:after="60"/>
        <w:rPr>
          <w:rFonts w:ascii="ＭＳ ゴシック" w:eastAsia="ＭＳ ゴシック" w:hAnsi="ＭＳ ゴシック"/>
          <w:lang w:eastAsia="ja-JP"/>
        </w:rPr>
      </w:pPr>
      <w:r w:rsidRPr="00415CFE">
        <w:rPr>
          <w:rFonts w:ascii="ＭＳ ゴシック" w:eastAsia="ＭＳ ゴシック" w:hAnsi="ＭＳ ゴシック"/>
          <w:b/>
          <w:color w:val="1F3756"/>
          <w:sz w:val="24"/>
          <w:lang w:eastAsia="ja-JP"/>
        </w:rPr>
        <w:t>5．内閣府に期待される役割</w:t>
      </w:r>
    </w:p>
    <w:p w14:paraId="40592DF4" w14:textId="77777777" w:rsidR="00BB796F" w:rsidRDefault="00000000">
      <w:pPr>
        <w:spacing w:after="80" w:line="324" w:lineRule="auto"/>
        <w:rPr>
          <w:lang w:eastAsia="ja-JP"/>
        </w:rPr>
      </w:pPr>
      <w:r>
        <w:rPr>
          <w:lang w:eastAsia="ja-JP"/>
        </w:rPr>
        <w:t>本構想において内閣府に期待される役割は、第一に、関係府省庁横断の初期的検討枠組みを設定することである。第二に、実証段階と制度化段階を区分し、工程管理を整理することである。第三に、地方創生、経済安全保障、科学技術、国土強靱化及び国家継続性の各政策概念を接続し、全体構造として整理</w:t>
      </w:r>
      <w:r>
        <w:rPr>
          <w:lang w:eastAsia="ja-JP"/>
        </w:rPr>
        <w:lastRenderedPageBreak/>
        <w:t>することである。第四に、官民連携及び地域実装の基本枠組みを統合的に検討することである。第五に、国家プロジェクトとして位置付ける場合の主要論点及び関係府省庁分担を抽出することである。</w:t>
      </w:r>
    </w:p>
    <w:p w14:paraId="3844BA0A" w14:textId="77777777" w:rsidR="00BB796F" w:rsidRPr="00415CFE" w:rsidRDefault="00000000">
      <w:pPr>
        <w:spacing w:before="160" w:after="60"/>
        <w:rPr>
          <w:rFonts w:ascii="ＭＳ ゴシック" w:eastAsia="ＭＳ ゴシック" w:hAnsi="ＭＳ ゴシック"/>
          <w:lang w:eastAsia="ja-JP"/>
        </w:rPr>
      </w:pPr>
      <w:r w:rsidRPr="00415CFE">
        <w:rPr>
          <w:rFonts w:ascii="ＭＳ ゴシック" w:eastAsia="ＭＳ ゴシック" w:hAnsi="ＭＳ ゴシック"/>
          <w:b/>
          <w:color w:val="1F3756"/>
          <w:sz w:val="24"/>
          <w:lang w:eastAsia="ja-JP"/>
        </w:rPr>
        <w:t>6．関係府省庁との接続</w:t>
      </w:r>
    </w:p>
    <w:p w14:paraId="3FA1E7A7" w14:textId="77777777" w:rsidR="00BB796F" w:rsidRDefault="00000000">
      <w:pPr>
        <w:spacing w:after="80" w:line="324" w:lineRule="auto"/>
        <w:rPr>
          <w:lang w:eastAsia="ja-JP"/>
        </w:rPr>
      </w:pPr>
      <w:r>
        <w:rPr>
          <w:lang w:eastAsia="ja-JP"/>
        </w:rPr>
        <w:t>本構想は、内閣府単独で完結するものではなく、関係府省庁との接続を前提として進める必要がある。その際、各府省庁が個別に担う制度設計や実装論点を、国家戦略上の全体構造として再整理し、相互に矛盾なく工程化する役割が重要となる。内閣府向けには、各府省庁の個別論点を上位で束ねる政策統合及び司令塔機能の必要性を中心に整理することが適当である。</w:t>
      </w:r>
    </w:p>
    <w:p w14:paraId="4140B93A" w14:textId="77777777" w:rsidR="00BB796F" w:rsidRPr="00415CFE" w:rsidRDefault="00000000">
      <w:pPr>
        <w:spacing w:before="160" w:after="60"/>
        <w:rPr>
          <w:rFonts w:ascii="ＭＳ ゴシック" w:eastAsia="ＭＳ ゴシック" w:hAnsi="ＭＳ ゴシック"/>
          <w:lang w:eastAsia="ja-JP"/>
        </w:rPr>
      </w:pPr>
      <w:r w:rsidRPr="00415CFE">
        <w:rPr>
          <w:rFonts w:ascii="ＭＳ ゴシック" w:eastAsia="ＭＳ ゴシック" w:hAnsi="ＭＳ ゴシック"/>
          <w:b/>
          <w:color w:val="1F3756"/>
          <w:sz w:val="24"/>
          <w:lang w:eastAsia="ja-JP"/>
        </w:rPr>
        <w:t>7．結論</w:t>
      </w:r>
    </w:p>
    <w:p w14:paraId="6B0EAB74" w14:textId="77777777" w:rsidR="00BB796F" w:rsidRDefault="00000000">
      <w:pPr>
        <w:spacing w:after="80" w:line="324" w:lineRule="auto"/>
        <w:rPr>
          <w:lang w:eastAsia="ja-JP"/>
        </w:rPr>
      </w:pPr>
      <w:r>
        <w:rPr>
          <w:lang w:eastAsia="ja-JP"/>
        </w:rPr>
        <w:t>以上のとおり、本構想は、単なる地域開発又は個別事業計画を主目的とするものではなく、北日本を起点として、我が国の基盤機能を分散・再設計し、国家継続性、地方再生及び経済安全保障を一体で高めようとするものである。内閣府向け説明においては、四本の矢の統合構造、青森・陸奥湾の位置づけ、関係府省庁横断性及び政策統合の必要性を中心に整理することが適当である。</w:t>
      </w:r>
    </w:p>
    <w:p w14:paraId="2CD462A0" w14:textId="77777777" w:rsidR="00BB796F" w:rsidRDefault="00000000">
      <w:pPr>
        <w:spacing w:before="160" w:after="0" w:line="288" w:lineRule="auto"/>
        <w:rPr>
          <w:lang w:eastAsia="ja-JP"/>
        </w:rPr>
      </w:pPr>
      <w:r>
        <w:rPr>
          <w:color w:val="595959"/>
          <w:sz w:val="19"/>
          <w:lang w:eastAsia="ja-JP"/>
        </w:rPr>
        <w:t>注）本資料は説明用整理案であり、記載内容については、今後、関係府省庁との役割分担、制度工程及び既存政策との整合性を踏まえてさらに精査する前提である。</w:t>
      </w:r>
    </w:p>
    <w:sectPr w:rsidR="00BB796F" w:rsidSect="00034616">
      <w:pgSz w:w="12240" w:h="15840"/>
      <w:pgMar w:top="1247" w:right="1247" w:bottom="113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2014800406">
    <w:abstractNumId w:val="8"/>
  </w:num>
  <w:num w:numId="2" w16cid:durableId="283922854">
    <w:abstractNumId w:val="6"/>
  </w:num>
  <w:num w:numId="3" w16cid:durableId="1338581953">
    <w:abstractNumId w:val="5"/>
  </w:num>
  <w:num w:numId="4" w16cid:durableId="1009910720">
    <w:abstractNumId w:val="4"/>
  </w:num>
  <w:num w:numId="5" w16cid:durableId="280303422">
    <w:abstractNumId w:val="7"/>
  </w:num>
  <w:num w:numId="6" w16cid:durableId="1144347366">
    <w:abstractNumId w:val="3"/>
  </w:num>
  <w:num w:numId="7" w16cid:durableId="2133939088">
    <w:abstractNumId w:val="2"/>
  </w:num>
  <w:num w:numId="8" w16cid:durableId="808127600">
    <w:abstractNumId w:val="1"/>
  </w:num>
  <w:num w:numId="9" w16cid:durableId="6804258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415CFE"/>
    <w:rsid w:val="00AA1D8D"/>
    <w:rsid w:val="00B47730"/>
    <w:rsid w:val="00BB796F"/>
    <w:rsid w:val="00CB0664"/>
    <w:rsid w:val="00FC693F"/>
    <w:rsid w:val="00FE0C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368FB275"/>
  <w14:defaultImageDpi w14:val="300"/>
  <w15:docId w15:val="{ED130181-9240-4B54-9413-1B6D09570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ＭＳ 明朝" w:eastAsia="ＭＳ 明朝" w:hAnsi="ＭＳ 明朝"/>
      <w:sz w:val="21"/>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ヘッダー (文字)"/>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フッター (文字)"/>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見出し 1 (文字)"/>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見出し 2 (文字)"/>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見出し 3 (文字)"/>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表題 (文字)"/>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題 (文字)"/>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文字)"/>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文字)"/>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文字)"/>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マクロ文字列 (文字)"/>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文 (文字)"/>
    <w:basedOn w:val="a2"/>
    <w:link w:val="af5"/>
    <w:uiPriority w:val="29"/>
    <w:rsid w:val="00FC693F"/>
    <w:rPr>
      <w:i/>
      <w:iCs/>
      <w:color w:val="000000" w:themeColor="text1"/>
    </w:rPr>
  </w:style>
  <w:style w:type="character" w:customStyle="1" w:styleId="40">
    <w:name w:val="見出し 4 (文字)"/>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見出し 5 (文字)"/>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見出し 6 (文字)"/>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見出し 7 (文字)"/>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見出し 8 (文字)"/>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見出し 9 (文字)"/>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27">
    <w:name w:val="Intense Quote"/>
    <w:basedOn w:val="a1"/>
    <w:next w:val="a1"/>
    <w:link w:val="28"/>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28">
    <w:name w:val="引用文 2 (文字)"/>
    <w:basedOn w:val="a2"/>
    <w:link w:val="27"/>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29">
    <w:name w:val="Intense Emphasis"/>
    <w:basedOn w:val="a2"/>
    <w:uiPriority w:val="21"/>
    <w:qFormat/>
    <w:rsid w:val="00FC693F"/>
    <w:rPr>
      <w:b/>
      <w:bCs/>
      <w:i/>
      <w:iCs/>
      <w:color w:val="4F81BD" w:themeColor="accent1"/>
    </w:rPr>
  </w:style>
  <w:style w:type="character" w:styleId="afb">
    <w:name w:val="Subtle Reference"/>
    <w:basedOn w:val="a2"/>
    <w:uiPriority w:val="31"/>
    <w:qFormat/>
    <w:rsid w:val="00FC693F"/>
    <w:rPr>
      <w:smallCaps/>
      <w:color w:val="C0504D" w:themeColor="accent2"/>
      <w:u w:val="single"/>
    </w:rPr>
  </w:style>
  <w:style w:type="character" w:styleId="2a">
    <w:name w:val="Intense Reference"/>
    <w:basedOn w:val="a2"/>
    <w:uiPriority w:val="32"/>
    <w:qFormat/>
    <w:rsid w:val="00FC693F"/>
    <w:rPr>
      <w:b/>
      <w:bCs/>
      <w:smallCaps/>
      <w:color w:val="C0504D" w:themeColor="accent2"/>
      <w:spacing w:val="5"/>
      <w:u w:val="single"/>
    </w:rPr>
  </w:style>
  <w:style w:type="character" w:styleId="afc">
    <w:name w:val="Book Title"/>
    <w:basedOn w:val="a2"/>
    <w:uiPriority w:val="33"/>
    <w:qFormat/>
    <w:rsid w:val="00FC693F"/>
    <w:rPr>
      <w:b/>
      <w:bCs/>
      <w:smallCaps/>
      <w:spacing w:val="5"/>
    </w:rPr>
  </w:style>
  <w:style w:type="paragraph" w:styleId="afd">
    <w:name w:val="TOC Heading"/>
    <w:basedOn w:val="1"/>
    <w:next w:val="a1"/>
    <w:uiPriority w:val="39"/>
    <w:semiHidden/>
    <w:unhideWhenUsed/>
    <w:qFormat/>
    <w:rsid w:val="00FC693F"/>
    <w:pPr>
      <w:outlineLvl w:val="9"/>
    </w:pPr>
  </w:style>
  <w:style w:type="table" w:styleId="afe">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4">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5">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6">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7">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d">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e">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1">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7">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8">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9">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a">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b">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c">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d">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2">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3">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4">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5">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6">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7">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1">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2">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3">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4">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5">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6">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7">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2">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3">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4">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5">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6">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7">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1">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2">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3">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3">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2">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3">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Header">
    <w:name w:val="SmallHeader"/>
    <w:basedOn w:val="a1"/>
    <w:rsid w:val="00415CFE"/>
    <w:pPr>
      <w:spacing w:after="160" w:line="288" w:lineRule="auto"/>
      <w:jc w:val="righ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377</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葬祭 天龍</cp:lastModifiedBy>
  <cp:revision>2</cp:revision>
  <dcterms:created xsi:type="dcterms:W3CDTF">2013-12-23T23:15:00Z</dcterms:created>
  <dcterms:modified xsi:type="dcterms:W3CDTF">2026-04-13T11:11:00Z</dcterms:modified>
  <cp:category/>
</cp:coreProperties>
</file>