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61927A" w14:textId="77777777" w:rsidR="00F54324" w:rsidRDefault="00000000">
      <w:pPr>
        <w:spacing w:before="400"/>
        <w:jc w:val="center"/>
        <w:rPr>
          <w:lang w:eastAsia="ja-JP"/>
        </w:rPr>
      </w:pPr>
      <w:r>
        <w:rPr>
          <w:b/>
          <w:color w:val="2F5496"/>
          <w:sz w:val="44"/>
          <w:lang w:eastAsia="ja-JP"/>
        </w:rPr>
        <w:t>北日本戦略再設計構想</w:t>
      </w:r>
    </w:p>
    <w:p w14:paraId="573D36B9" w14:textId="77777777" w:rsidR="00F54324" w:rsidRDefault="00000000">
      <w:pPr>
        <w:jc w:val="center"/>
        <w:rPr>
          <w:lang w:eastAsia="ja-JP"/>
        </w:rPr>
      </w:pPr>
      <w:r>
        <w:rPr>
          <w:sz w:val="24"/>
          <w:lang w:eastAsia="ja-JP"/>
        </w:rPr>
        <w:t>国土分散・経済安全保障・国際共同投資・AI社会インフラによる</w:t>
      </w:r>
      <w:r>
        <w:rPr>
          <w:sz w:val="24"/>
          <w:lang w:eastAsia="ja-JP"/>
        </w:rPr>
        <w:br/>
        <w:t>日本の生存確率最大化</w:t>
      </w:r>
    </w:p>
    <w:p w14:paraId="62694054" w14:textId="77777777" w:rsidR="00F54324" w:rsidRDefault="00F54324">
      <w:pPr>
        <w:jc w:val="center"/>
        <w:rPr>
          <w:lang w:eastAsia="ja-JP"/>
        </w:rPr>
      </w:pPr>
    </w:p>
    <w:p w14:paraId="7AD5D0A5" w14:textId="77777777" w:rsidR="00F54324" w:rsidRDefault="00000000">
      <w:pPr>
        <w:jc w:val="center"/>
        <w:rPr>
          <w:sz w:val="22"/>
          <w:lang w:eastAsia="ja-JP"/>
        </w:rPr>
      </w:pPr>
      <w:r>
        <w:rPr>
          <w:sz w:val="22"/>
          <w:lang w:eastAsia="ja-JP"/>
        </w:rPr>
        <w:t>政策立案者：新岡 昌心</w:t>
      </w:r>
    </w:p>
    <w:p w14:paraId="77B24CFD" w14:textId="77777777" w:rsidR="00762633" w:rsidRDefault="00762633">
      <w:pPr>
        <w:jc w:val="center"/>
        <w:rPr>
          <w:sz w:val="22"/>
          <w:lang w:eastAsia="ja-JP"/>
        </w:rPr>
      </w:pPr>
    </w:p>
    <w:p w14:paraId="0E407A47" w14:textId="77777777" w:rsidR="00762633" w:rsidRDefault="00762633">
      <w:pPr>
        <w:jc w:val="center"/>
        <w:rPr>
          <w:sz w:val="22"/>
          <w:lang w:eastAsia="ja-JP"/>
        </w:rPr>
      </w:pPr>
    </w:p>
    <w:p w14:paraId="5A9FACB7" w14:textId="77777777" w:rsidR="00762633" w:rsidRDefault="00762633">
      <w:pPr>
        <w:jc w:val="center"/>
        <w:rPr>
          <w:sz w:val="22"/>
          <w:lang w:eastAsia="ja-JP"/>
        </w:rPr>
      </w:pPr>
    </w:p>
    <w:p w14:paraId="3AB1C7CA" w14:textId="77777777" w:rsidR="00762633" w:rsidRDefault="00762633">
      <w:pPr>
        <w:jc w:val="center"/>
        <w:rPr>
          <w:sz w:val="22"/>
          <w:lang w:eastAsia="ja-JP"/>
        </w:rPr>
      </w:pPr>
    </w:p>
    <w:p w14:paraId="514A6C05" w14:textId="77777777" w:rsidR="00762633" w:rsidRDefault="00762633">
      <w:pPr>
        <w:jc w:val="center"/>
        <w:rPr>
          <w:sz w:val="22"/>
          <w:lang w:eastAsia="ja-JP"/>
        </w:rPr>
      </w:pPr>
    </w:p>
    <w:p w14:paraId="2F1EDB47" w14:textId="77777777" w:rsidR="00762633" w:rsidRDefault="00762633">
      <w:pPr>
        <w:jc w:val="center"/>
        <w:rPr>
          <w:sz w:val="22"/>
          <w:lang w:eastAsia="ja-JP"/>
        </w:rPr>
      </w:pPr>
    </w:p>
    <w:p w14:paraId="4DCEF601" w14:textId="77777777" w:rsidR="00762633" w:rsidRDefault="00762633">
      <w:pPr>
        <w:jc w:val="center"/>
        <w:rPr>
          <w:sz w:val="22"/>
          <w:lang w:eastAsia="ja-JP"/>
        </w:rPr>
      </w:pPr>
    </w:p>
    <w:p w14:paraId="17C05B95" w14:textId="77777777" w:rsidR="00762633" w:rsidRDefault="00762633">
      <w:pPr>
        <w:jc w:val="center"/>
        <w:rPr>
          <w:sz w:val="22"/>
          <w:lang w:eastAsia="ja-JP"/>
        </w:rPr>
      </w:pPr>
    </w:p>
    <w:p w14:paraId="49862717" w14:textId="77777777" w:rsidR="00762633" w:rsidRDefault="00762633">
      <w:pPr>
        <w:jc w:val="center"/>
        <w:rPr>
          <w:sz w:val="22"/>
          <w:lang w:eastAsia="ja-JP"/>
        </w:rPr>
      </w:pPr>
    </w:p>
    <w:p w14:paraId="3A966D88" w14:textId="77777777" w:rsidR="00762633" w:rsidRDefault="00762633">
      <w:pPr>
        <w:jc w:val="center"/>
        <w:rPr>
          <w:sz w:val="22"/>
          <w:lang w:eastAsia="ja-JP"/>
        </w:rPr>
      </w:pPr>
    </w:p>
    <w:p w14:paraId="37F4BB85" w14:textId="77777777" w:rsidR="00762633" w:rsidRDefault="00762633">
      <w:pPr>
        <w:jc w:val="center"/>
        <w:rPr>
          <w:sz w:val="22"/>
          <w:lang w:eastAsia="ja-JP"/>
        </w:rPr>
      </w:pPr>
    </w:p>
    <w:p w14:paraId="42CAB13C" w14:textId="77777777" w:rsidR="00762633" w:rsidRDefault="00762633">
      <w:pPr>
        <w:jc w:val="center"/>
        <w:rPr>
          <w:sz w:val="22"/>
          <w:lang w:eastAsia="ja-JP"/>
        </w:rPr>
      </w:pPr>
    </w:p>
    <w:p w14:paraId="74FE356B" w14:textId="77777777" w:rsidR="00762633" w:rsidRDefault="00762633">
      <w:pPr>
        <w:jc w:val="center"/>
        <w:rPr>
          <w:lang w:eastAsia="ja-JP"/>
        </w:rPr>
      </w:pPr>
    </w:p>
    <w:p w14:paraId="575435EB" w14:textId="77777777" w:rsidR="00762633" w:rsidRDefault="00762633">
      <w:pPr>
        <w:jc w:val="center"/>
        <w:rPr>
          <w:lang w:eastAsia="ja-JP"/>
        </w:rPr>
      </w:pPr>
    </w:p>
    <w:p w14:paraId="54A54F83" w14:textId="77777777" w:rsidR="00762633" w:rsidRDefault="00762633">
      <w:pPr>
        <w:jc w:val="center"/>
        <w:rPr>
          <w:lang w:eastAsia="ja-JP"/>
        </w:rPr>
      </w:pPr>
    </w:p>
    <w:p w14:paraId="64E837F1" w14:textId="77777777" w:rsidR="00762633" w:rsidRDefault="00762633">
      <w:pPr>
        <w:jc w:val="center"/>
        <w:rPr>
          <w:lang w:eastAsia="ja-JP"/>
        </w:rPr>
      </w:pPr>
    </w:p>
    <w:p w14:paraId="3BB71335" w14:textId="77777777" w:rsidR="00F54324" w:rsidRDefault="00000000">
      <w:pPr>
        <w:pStyle w:val="1"/>
        <w:rPr>
          <w:lang w:eastAsia="ja-JP"/>
        </w:rPr>
      </w:pPr>
      <w:r>
        <w:rPr>
          <w:lang w:eastAsia="ja-JP"/>
        </w:rPr>
        <w:lastRenderedPageBreak/>
        <w:t>エグゼクティブ・サマリー</w:t>
      </w:r>
    </w:p>
    <w:p w14:paraId="7968BF5A" w14:textId="77777777" w:rsidR="00F54324" w:rsidRDefault="00000000">
      <w:pPr>
        <w:rPr>
          <w:lang w:eastAsia="ja-JP"/>
        </w:rPr>
      </w:pPr>
      <w:r>
        <w:rPr>
          <w:lang w:eastAsia="ja-JP"/>
        </w:rPr>
        <w:t>本構想は、首都圏一極集中、巨大災害、物流偏在、エネルギー不安、そしてAI社会インフラ化に伴う新たな脆弱性に対し、日本を「沈まない国」へ再設計するための長期政策構想である。</w:t>
      </w:r>
    </w:p>
    <w:p w14:paraId="4281DD80" w14:textId="77777777" w:rsidR="00F54324" w:rsidRDefault="00000000">
      <w:pPr>
        <w:rPr>
          <w:lang w:eastAsia="ja-JP"/>
        </w:rPr>
      </w:pPr>
      <w:r>
        <w:rPr>
          <w:lang w:eastAsia="ja-JP"/>
        </w:rPr>
        <w:t>中心となる発想は、北日本に経済・物流・エネルギー・観測／指揮／通信・計算基盤を分散配置し、平時は成長投資として、非常時は国家継続性の保険として機能させることである。</w:t>
      </w:r>
    </w:p>
    <w:p w14:paraId="0B1B5072" w14:textId="77777777" w:rsidR="00F54324" w:rsidRDefault="00000000">
      <w:pPr>
        <w:rPr>
          <w:lang w:eastAsia="ja-JP"/>
        </w:rPr>
      </w:pPr>
      <w:r>
        <w:rPr>
          <w:lang w:eastAsia="ja-JP"/>
        </w:rPr>
        <w:t>また本版では、AIを単なる産業論ではなく社会インフラ論として位置づけ、単一AI依存を避ける多AI共存基盤と、人間主体性を守る運用原則を政策対象へ明示的に組み込む。</w:t>
      </w:r>
    </w:p>
    <w:p w14:paraId="31E9C9D5" w14:textId="77777777" w:rsidR="00F54324" w:rsidRDefault="00000000">
      <w:pPr>
        <w:pStyle w:val="21"/>
      </w:pPr>
      <w:proofErr w:type="spellStart"/>
      <w:r>
        <w:t>要点一覧</w:t>
      </w:r>
      <w:proofErr w:type="spellEnd"/>
    </w:p>
    <w:p w14:paraId="70F0AE7E" w14:textId="77777777" w:rsidR="00F54324" w:rsidRDefault="00000000">
      <w:pPr>
        <w:jc w:val="center"/>
      </w:pPr>
      <w:r>
        <w:rPr>
          <w:noProof/>
        </w:rPr>
        <w:drawing>
          <wp:inline distT="0" distB="0" distL="0" distR="0" wp14:anchorId="33406F10" wp14:editId="49F18E15">
            <wp:extent cx="5394960" cy="41255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01_σ¢¢µ£¼πü«τƒóτ╡▒σÉêµºïΘÇáσ¢│.png"/>
                    <pic:cNvPicPr/>
                  </pic:nvPicPr>
                  <pic:blipFill>
                    <a:blip r:embed="rId6"/>
                    <a:stretch>
                      <a:fillRect/>
                    </a:stretch>
                  </pic:blipFill>
                  <pic:spPr>
                    <a:xfrm>
                      <a:off x="0" y="0"/>
                      <a:ext cx="5394960" cy="4125558"/>
                    </a:xfrm>
                    <a:prstGeom prst="rect">
                      <a:avLst/>
                    </a:prstGeom>
                  </pic:spPr>
                </pic:pic>
              </a:graphicData>
            </a:graphic>
          </wp:inline>
        </w:drawing>
      </w:r>
    </w:p>
    <w:p w14:paraId="5C6307DD" w14:textId="77777777" w:rsidR="00F54324" w:rsidRDefault="00000000">
      <w:pPr>
        <w:jc w:val="center"/>
        <w:rPr>
          <w:rFonts w:ascii="游ゴシック" w:eastAsia="游ゴシック" w:hAnsi="游ゴシック"/>
          <w:sz w:val="18"/>
          <w:lang w:eastAsia="ja-JP"/>
        </w:rPr>
      </w:pPr>
      <w:r>
        <w:rPr>
          <w:rFonts w:ascii="游ゴシック" w:eastAsia="游ゴシック" w:hAnsi="游ゴシック"/>
          <w:sz w:val="18"/>
          <w:lang w:eastAsia="ja-JP"/>
        </w:rPr>
        <w:t>図1　四本の矢 統合構造図</w:t>
      </w:r>
    </w:p>
    <w:p w14:paraId="5E319F4C" w14:textId="77777777" w:rsidR="00780A6A" w:rsidRDefault="00780A6A">
      <w:pPr>
        <w:jc w:val="center"/>
        <w:rPr>
          <w:rFonts w:ascii="游ゴシック" w:eastAsia="游ゴシック" w:hAnsi="游ゴシック"/>
          <w:sz w:val="18"/>
          <w:lang w:eastAsia="ja-JP"/>
        </w:rPr>
      </w:pPr>
    </w:p>
    <w:p w14:paraId="30B903AC" w14:textId="77777777" w:rsidR="00762633" w:rsidRDefault="00762633">
      <w:pPr>
        <w:jc w:val="center"/>
        <w:rPr>
          <w:rFonts w:ascii="游ゴシック" w:eastAsia="游ゴシック" w:hAnsi="游ゴシック"/>
          <w:sz w:val="18"/>
          <w:lang w:eastAsia="ja-JP"/>
        </w:rPr>
      </w:pPr>
    </w:p>
    <w:p w14:paraId="44CEA7E3" w14:textId="77777777" w:rsidR="00762633" w:rsidRDefault="00762633">
      <w:pPr>
        <w:jc w:val="center"/>
        <w:rPr>
          <w:rFonts w:ascii="游ゴシック" w:eastAsia="游ゴシック" w:hAnsi="游ゴシック"/>
          <w:sz w:val="18"/>
          <w:lang w:eastAsia="ja-JP"/>
        </w:rPr>
      </w:pPr>
    </w:p>
    <w:p w14:paraId="470B9777" w14:textId="77777777" w:rsidR="00762633" w:rsidRDefault="00762633">
      <w:pPr>
        <w:jc w:val="center"/>
        <w:rPr>
          <w:rFonts w:ascii="游ゴシック" w:eastAsia="游ゴシック" w:hAnsi="游ゴシック"/>
          <w:sz w:val="18"/>
          <w:lang w:eastAsia="ja-JP"/>
        </w:rPr>
      </w:pPr>
    </w:p>
    <w:p w14:paraId="22BE8E91" w14:textId="77777777" w:rsidR="00762633" w:rsidRDefault="00762633">
      <w:pPr>
        <w:jc w:val="center"/>
        <w:rPr>
          <w:rFonts w:ascii="游ゴシック" w:eastAsia="游ゴシック" w:hAnsi="游ゴシック"/>
          <w:sz w:val="18"/>
          <w:lang w:eastAsia="ja-JP"/>
        </w:rPr>
      </w:pPr>
    </w:p>
    <w:p w14:paraId="03701E75" w14:textId="77777777" w:rsidR="00780A6A" w:rsidRDefault="00780A6A">
      <w:pPr>
        <w:jc w:val="center"/>
        <w:rPr>
          <w:rFonts w:ascii="游ゴシック" w:eastAsia="游ゴシック" w:hAnsi="游ゴシック"/>
          <w:sz w:val="18"/>
          <w:lang w:eastAsia="ja-JP"/>
        </w:rPr>
      </w:pPr>
    </w:p>
    <w:p w14:paraId="7F4D1071" w14:textId="77777777" w:rsidR="00780A6A" w:rsidRPr="00780A6A" w:rsidRDefault="00780A6A">
      <w:pPr>
        <w:jc w:val="center"/>
        <w:rPr>
          <w:lang w:eastAsia="ja-JP"/>
        </w:rPr>
      </w:pP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05"/>
        <w:gridCol w:w="5877"/>
      </w:tblGrid>
      <w:tr w:rsidR="00F54324" w14:paraId="575AAE0E" w14:textId="77777777">
        <w:trPr>
          <w:tblHeader/>
          <w:jc w:val="center"/>
        </w:trPr>
        <w:tc>
          <w:tcPr>
            <w:tcW w:w="4873" w:type="dxa"/>
            <w:shd w:val="clear" w:color="auto" w:fill="D9EAF7"/>
            <w:vAlign w:val="center"/>
          </w:tcPr>
          <w:p w14:paraId="4A7CCA1E" w14:textId="77777777" w:rsidR="00F54324" w:rsidRDefault="00000000">
            <w:proofErr w:type="spellStart"/>
            <w:r>
              <w:lastRenderedPageBreak/>
              <w:t>項目</w:t>
            </w:r>
            <w:proofErr w:type="spellEnd"/>
          </w:p>
        </w:tc>
        <w:tc>
          <w:tcPr>
            <w:tcW w:w="4873" w:type="dxa"/>
            <w:shd w:val="clear" w:color="auto" w:fill="D9EAF7"/>
            <w:vAlign w:val="center"/>
          </w:tcPr>
          <w:p w14:paraId="3062BF89" w14:textId="77777777" w:rsidR="00F54324" w:rsidRDefault="00000000">
            <w:r>
              <w:t>代表値・要点</w:t>
            </w:r>
          </w:p>
        </w:tc>
      </w:tr>
      <w:tr w:rsidR="00F54324" w14:paraId="7066A59D" w14:textId="77777777">
        <w:trPr>
          <w:jc w:val="center"/>
        </w:trPr>
        <w:tc>
          <w:tcPr>
            <w:tcW w:w="2835" w:type="dxa"/>
          </w:tcPr>
          <w:p w14:paraId="4CD42D45" w14:textId="77777777" w:rsidR="00F54324" w:rsidRDefault="00000000">
            <w:r>
              <w:t>総事業費</w:t>
            </w:r>
          </w:p>
        </w:tc>
        <w:tc>
          <w:tcPr>
            <w:tcW w:w="5953" w:type="dxa"/>
          </w:tcPr>
          <w:p w14:paraId="02D99646" w14:textId="77777777" w:rsidR="00F54324" w:rsidRDefault="00000000">
            <w:r>
              <w:t>約15兆円（15年分散投資）</w:t>
            </w:r>
          </w:p>
        </w:tc>
      </w:tr>
      <w:tr w:rsidR="00F54324" w14:paraId="348A6528" w14:textId="77777777">
        <w:trPr>
          <w:jc w:val="center"/>
        </w:trPr>
        <w:tc>
          <w:tcPr>
            <w:tcW w:w="2835" w:type="dxa"/>
          </w:tcPr>
          <w:p w14:paraId="2CEC5BFE" w14:textId="77777777" w:rsidR="00F54324" w:rsidRDefault="00000000">
            <w:r>
              <w:t>年間投資規模</w:t>
            </w:r>
          </w:p>
        </w:tc>
        <w:tc>
          <w:tcPr>
            <w:tcW w:w="5953" w:type="dxa"/>
          </w:tcPr>
          <w:p w14:paraId="0291F5AB" w14:textId="77777777" w:rsidR="00F54324" w:rsidRDefault="00000000">
            <w:r>
              <w:t>約1兆円</w:t>
            </w:r>
          </w:p>
        </w:tc>
      </w:tr>
      <w:tr w:rsidR="00F54324" w14:paraId="31671FB3" w14:textId="77777777">
        <w:trPr>
          <w:jc w:val="center"/>
        </w:trPr>
        <w:tc>
          <w:tcPr>
            <w:tcW w:w="2835" w:type="dxa"/>
          </w:tcPr>
          <w:p w14:paraId="3C5786AD" w14:textId="77777777" w:rsidR="00F54324" w:rsidRDefault="00000000">
            <w:r>
              <w:t>政策骨格</w:t>
            </w:r>
          </w:p>
        </w:tc>
        <w:tc>
          <w:tcPr>
            <w:tcW w:w="5953" w:type="dxa"/>
          </w:tcPr>
          <w:p w14:paraId="04D66ED9" w14:textId="77777777" w:rsidR="00F54324" w:rsidRDefault="00000000">
            <w:pPr>
              <w:rPr>
                <w:lang w:eastAsia="ja-JP"/>
              </w:rPr>
            </w:pPr>
            <w:r>
              <w:rPr>
                <w:lang w:eastAsia="ja-JP"/>
              </w:rPr>
              <w:t>四本の矢＋AI社会インフラ補論</w:t>
            </w:r>
          </w:p>
        </w:tc>
      </w:tr>
      <w:tr w:rsidR="00F54324" w14:paraId="455AC39B" w14:textId="77777777">
        <w:trPr>
          <w:jc w:val="center"/>
        </w:trPr>
        <w:tc>
          <w:tcPr>
            <w:tcW w:w="2835" w:type="dxa"/>
          </w:tcPr>
          <w:p w14:paraId="5C37D797" w14:textId="77777777" w:rsidR="00F54324" w:rsidRDefault="00000000">
            <w:proofErr w:type="spellStart"/>
            <w:r>
              <w:t>経済効果</w:t>
            </w:r>
            <w:proofErr w:type="spellEnd"/>
          </w:p>
        </w:tc>
        <w:tc>
          <w:tcPr>
            <w:tcW w:w="5953" w:type="dxa"/>
          </w:tcPr>
          <w:p w14:paraId="65569338" w14:textId="77777777" w:rsidR="00F54324" w:rsidRDefault="00000000">
            <w:r>
              <w:t>年間GDP押上げ +0.2〜0.4%</w:t>
            </w:r>
          </w:p>
        </w:tc>
      </w:tr>
      <w:tr w:rsidR="00F54324" w14:paraId="16C35FD8" w14:textId="77777777">
        <w:trPr>
          <w:jc w:val="center"/>
        </w:trPr>
        <w:tc>
          <w:tcPr>
            <w:tcW w:w="2835" w:type="dxa"/>
          </w:tcPr>
          <w:p w14:paraId="460ED93D" w14:textId="77777777" w:rsidR="00F54324" w:rsidRDefault="00000000">
            <w:r>
              <w:t>税収効果</w:t>
            </w:r>
          </w:p>
        </w:tc>
        <w:tc>
          <w:tcPr>
            <w:tcW w:w="5953" w:type="dxa"/>
          </w:tcPr>
          <w:p w14:paraId="42B0E163" w14:textId="77777777" w:rsidR="00F54324" w:rsidRDefault="00000000">
            <w:r>
              <w:t>年間税収増 0.3〜0.7兆円</w:t>
            </w:r>
          </w:p>
        </w:tc>
      </w:tr>
      <w:tr w:rsidR="00F54324" w14:paraId="1037188C" w14:textId="77777777">
        <w:trPr>
          <w:jc w:val="center"/>
        </w:trPr>
        <w:tc>
          <w:tcPr>
            <w:tcW w:w="2835" w:type="dxa"/>
          </w:tcPr>
          <w:p w14:paraId="6040A2E1" w14:textId="77777777" w:rsidR="00F54324" w:rsidRDefault="00000000">
            <w:r>
              <w:t>制度の歯止め</w:t>
            </w:r>
          </w:p>
        </w:tc>
        <w:tc>
          <w:tcPr>
            <w:tcW w:w="5953" w:type="dxa"/>
          </w:tcPr>
          <w:p w14:paraId="2AB58188" w14:textId="77777777" w:rsidR="00F54324" w:rsidRDefault="00000000">
            <w:pPr>
              <w:rPr>
                <w:lang w:eastAsia="ja-JP"/>
              </w:rPr>
            </w:pPr>
            <w:r>
              <w:rPr>
                <w:lang w:eastAsia="ja-JP"/>
              </w:rPr>
              <w:t>NEASIF 15年時限／5年レビュー／金利3%停止条項</w:t>
            </w:r>
          </w:p>
        </w:tc>
      </w:tr>
    </w:tbl>
    <w:p w14:paraId="2CB57A0B" w14:textId="77777777" w:rsidR="00F54324" w:rsidRDefault="00000000">
      <w:pPr>
        <w:pStyle w:val="1"/>
        <w:rPr>
          <w:lang w:eastAsia="ja-JP"/>
        </w:rPr>
      </w:pPr>
      <w:r>
        <w:rPr>
          <w:lang w:eastAsia="ja-JP"/>
        </w:rPr>
        <w:t>第</w:t>
      </w:r>
      <w:r>
        <w:rPr>
          <w:lang w:eastAsia="ja-JP"/>
        </w:rPr>
        <w:t>1</w:t>
      </w:r>
      <w:r>
        <w:rPr>
          <w:lang w:eastAsia="ja-JP"/>
        </w:rPr>
        <w:t>部　総論</w:t>
      </w:r>
    </w:p>
    <w:p w14:paraId="4917C0E7" w14:textId="77777777" w:rsidR="00F54324" w:rsidRDefault="00000000">
      <w:pPr>
        <w:pStyle w:val="21"/>
        <w:rPr>
          <w:lang w:eastAsia="ja-JP"/>
        </w:rPr>
      </w:pPr>
      <w:r>
        <w:rPr>
          <w:lang w:eastAsia="ja-JP"/>
        </w:rPr>
        <w:t xml:space="preserve">1. </w:t>
      </w:r>
      <w:r>
        <w:rPr>
          <w:lang w:eastAsia="ja-JP"/>
        </w:rPr>
        <w:t>構想の目的</w:t>
      </w:r>
    </w:p>
    <w:p w14:paraId="2F502DA5" w14:textId="77777777" w:rsidR="00F54324" w:rsidRDefault="00000000">
      <w:pPr>
        <w:rPr>
          <w:lang w:eastAsia="ja-JP"/>
        </w:rPr>
      </w:pPr>
      <w:r>
        <w:rPr>
          <w:lang w:eastAsia="ja-JP"/>
        </w:rPr>
        <w:t>日本は、人口・行政・金融・防衛・物流・計算基盤の多くを首都圏に集中させてきた。この集中は平時の効率を高める一方、首都直下地震、南海トラフ巨大地震、長期物流停止、エネルギー制約、東アジアの緊張環境に対して大きな脆弱性を生む。</w:t>
      </w:r>
    </w:p>
    <w:p w14:paraId="31F3D09C" w14:textId="77777777" w:rsidR="00F54324" w:rsidRDefault="00000000">
      <w:pPr>
        <w:rPr>
          <w:lang w:eastAsia="ja-JP"/>
        </w:rPr>
      </w:pPr>
      <w:r>
        <w:rPr>
          <w:lang w:eastAsia="ja-JP"/>
        </w:rPr>
        <w:t>本構想の目的は、日本の生存確率を最大化する構造再設計である。これは軍拡ではなく、分散・多極化・共同利害構造によって、国家全体を「沈まない構造」に変える試みである。なお、本構想は北極海航路の本格開通を前提条件とするものではなく、同航路が本格化した場合には上振れ効果を持つ構造として設計する。</w:t>
      </w:r>
    </w:p>
    <w:p w14:paraId="7196B6F4" w14:textId="77777777" w:rsidR="00F54324" w:rsidRDefault="00000000">
      <w:pPr>
        <w:spacing w:before="60" w:after="120"/>
        <w:rPr>
          <w:lang w:eastAsia="ja-JP"/>
        </w:rPr>
      </w:pPr>
      <w:r>
        <w:rPr>
          <w:i/>
          <w:color w:val="666666"/>
          <w:sz w:val="19"/>
          <w:lang w:eastAsia="ja-JP"/>
        </w:rPr>
        <w:t>→ 参照：別紙A「災害・物流データ集」</w:t>
      </w:r>
    </w:p>
    <w:p w14:paraId="3DF59704" w14:textId="77777777" w:rsidR="00F54324" w:rsidRDefault="00000000">
      <w:pPr>
        <w:pStyle w:val="21"/>
        <w:rPr>
          <w:lang w:eastAsia="ja-JP"/>
        </w:rPr>
      </w:pPr>
      <w:r>
        <w:rPr>
          <w:lang w:eastAsia="ja-JP"/>
        </w:rPr>
        <w:t xml:space="preserve">1-2. </w:t>
      </w:r>
      <w:r>
        <w:rPr>
          <w:lang w:eastAsia="ja-JP"/>
        </w:rPr>
        <w:t>なぜ青森なのか</w:t>
      </w:r>
    </w:p>
    <w:p w14:paraId="11AF4F58" w14:textId="77777777" w:rsidR="00F54324" w:rsidRDefault="00000000">
      <w:pPr>
        <w:rPr>
          <w:lang w:eastAsia="ja-JP"/>
        </w:rPr>
      </w:pPr>
      <w:r>
        <w:rPr>
          <w:lang w:eastAsia="ja-JP"/>
        </w:rPr>
        <w:t>青森は、本構想の出発点として偶然選ばれる地域ではない。本州最北端に位置し、日本海・太平洋・津軽海峡・陸奥湾を同時に視野に収めることで、北日本の分散拠点として高い地理的特性を持つ。</w:t>
      </w:r>
    </w:p>
    <w:p w14:paraId="0D83A31C" w14:textId="77777777" w:rsidR="00F54324" w:rsidRDefault="00000000">
      <w:pPr>
        <w:rPr>
          <w:lang w:eastAsia="ja-JP"/>
        </w:rPr>
      </w:pPr>
      <w:r>
        <w:rPr>
          <w:lang w:eastAsia="ja-JP"/>
        </w:rPr>
        <w:t>第一に、津軽海峡を抱えることで、日本海側と太平洋側をつなぐ結節点となりうる。第二に、陸奥湾は内湾として比較的安定した海域を持ち、メガフロート型拠点や港湾・産業基盤を構想する上で検討価値が高い。</w:t>
      </w:r>
    </w:p>
    <w:p w14:paraId="0E152F3C" w14:textId="77777777" w:rsidR="00F54324" w:rsidRDefault="00000000">
      <w:pPr>
        <w:rPr>
          <w:lang w:eastAsia="ja-JP"/>
        </w:rPr>
      </w:pPr>
      <w:r>
        <w:rPr>
          <w:lang w:eastAsia="ja-JP"/>
        </w:rPr>
        <w:t>第三に、八甲田を中心とする冷涼な気候、地熱・再生可能エネルギーの潜在性、地下水・海水を含む冷却資源の活用余地は、データセンターやAI計算基盤、半導体後工程・材料産業を支える条件となる。</w:t>
      </w:r>
    </w:p>
    <w:p w14:paraId="5DC1BDE7" w14:textId="77777777" w:rsidR="00F54324" w:rsidRDefault="00000000">
      <w:pPr>
        <w:rPr>
          <w:lang w:eastAsia="ja-JP"/>
        </w:rPr>
      </w:pPr>
      <w:r>
        <w:rPr>
          <w:lang w:eastAsia="ja-JP"/>
        </w:rPr>
        <w:t>第四に、三沢・車力・大湊など既存の安全保障・警戒監視・輸送の基盤が周辺に存在し、これらを冗長化・再編・補完することで、国家継続性を高める北の分散レイヤーを形成しやすい。第五に、青森は人口減少、豪雪、産業空洞化、地理的周縁化といった課題を先に抱えており、ここで成立するモデルは日本全体に先行する。</w:t>
      </w:r>
    </w:p>
    <w:p w14:paraId="6C9F2E18" w14:textId="76645515" w:rsidR="00F54324" w:rsidRDefault="00000000">
      <w:pPr>
        <w:jc w:val="center"/>
        <w:rPr>
          <w:rFonts w:ascii="游ゴシック" w:eastAsia="游ゴシック" w:hAnsi="游ゴシック"/>
          <w:sz w:val="18"/>
          <w:lang w:eastAsia="ja-JP"/>
        </w:rPr>
      </w:pPr>
      <w:r>
        <w:rPr>
          <w:lang w:eastAsia="ja-JP"/>
        </w:rPr>
        <w:lastRenderedPageBreak/>
        <w:t>図2　青森立地優位マップ</w:t>
      </w:r>
    </w:p>
    <w:p w14:paraId="31B82D21" w14:textId="77777777" w:rsidR="00762633" w:rsidRDefault="00762633">
      <w:pPr>
        <w:jc w:val="center"/>
        <w:rPr>
          <w:lang w:eastAsia="ja-JP"/>
        </w:rPr>
      </w:pPr>
      <w:r>
        <w:rPr>
          <w:rFonts w:hint="eastAsia"/>
          <w:noProof/>
          <w:lang w:eastAsia="ja-JP"/>
        </w:rPr>
        <w:drawing>
          <wp:inline distT="0" distB="0" distL="0" distR="0" wp14:anchorId="44C65B62" wp14:editId="1ACFAA66">
            <wp:extent cx="6188710" cy="4125595"/>
            <wp:effectExtent l="0" t="0" r="2540" b="8255"/>
            <wp:docPr id="18201331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33195" name="図 1820133195"/>
                    <pic:cNvPicPr/>
                  </pic:nvPicPr>
                  <pic:blipFill>
                    <a:blip r:embed="rId7"/>
                    <a:stretch>
                      <a:fillRect/>
                    </a:stretch>
                  </pic:blipFill>
                  <pic:spPr>
                    <a:xfrm>
                      <a:off x="0" y="0"/>
                      <a:ext cx="6188710" cy="4125595"/>
                    </a:xfrm>
                    <a:prstGeom prst="rect">
                      <a:avLst/>
                    </a:prstGeom>
                  </pic:spPr>
                </pic:pic>
              </a:graphicData>
            </a:graphic>
          </wp:inline>
        </w:drawing>
      </w:r>
    </w:p>
    <w:p w14:paraId="01A81FBC" w14:textId="77777777" w:rsidR="00F54324" w:rsidRDefault="00000000">
      <w:pPr>
        <w:jc w:val="center"/>
      </w:pPr>
      <w:r>
        <w:rPr>
          <w:noProof/>
        </w:rPr>
        <w:drawing>
          <wp:inline distT="0" distB="0" distL="0" distR="0" wp14:anchorId="6CED747E" wp14:editId="6C9AE887">
            <wp:extent cx="5394960" cy="42842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10_σîùµÑ╡µ╡╖Φê¬Φ╖»Σ║êµ╕¼σ¢│.png"/>
                    <pic:cNvPicPr/>
                  </pic:nvPicPr>
                  <pic:blipFill>
                    <a:blip r:embed="rId8"/>
                    <a:stretch>
                      <a:fillRect/>
                    </a:stretch>
                  </pic:blipFill>
                  <pic:spPr>
                    <a:xfrm>
                      <a:off x="0" y="0"/>
                      <a:ext cx="5394960" cy="4284233"/>
                    </a:xfrm>
                    <a:prstGeom prst="rect">
                      <a:avLst/>
                    </a:prstGeom>
                  </pic:spPr>
                </pic:pic>
              </a:graphicData>
            </a:graphic>
          </wp:inline>
        </w:drawing>
      </w:r>
    </w:p>
    <w:p w14:paraId="29D6337C" w14:textId="77777777" w:rsidR="00F54324" w:rsidRDefault="00000000">
      <w:pPr>
        <w:jc w:val="center"/>
        <w:rPr>
          <w:lang w:eastAsia="ja-JP"/>
        </w:rPr>
      </w:pPr>
      <w:r>
        <w:rPr>
          <w:lang w:eastAsia="ja-JP"/>
        </w:rPr>
        <w:t>図3　北極海航路予測図</w:t>
      </w:r>
    </w:p>
    <w:p w14:paraId="1981DAC4" w14:textId="77777777" w:rsidR="00F54324" w:rsidRDefault="00000000" w:rsidP="00762633">
      <w:pPr>
        <w:spacing w:before="60" w:after="120"/>
        <w:jc w:val="right"/>
        <w:rPr>
          <w:lang w:eastAsia="ja-JP"/>
        </w:rPr>
      </w:pPr>
      <w:r>
        <w:rPr>
          <w:i/>
          <w:color w:val="666666"/>
          <w:sz w:val="19"/>
          <w:lang w:eastAsia="ja-JP"/>
        </w:rPr>
        <w:t>→ 参照：別紙A「災害・物流データ集」</w:t>
      </w:r>
    </w:p>
    <w:p w14:paraId="25B25175" w14:textId="77777777" w:rsidR="00F54324" w:rsidRDefault="00000000">
      <w:pPr>
        <w:pStyle w:val="21"/>
        <w:rPr>
          <w:lang w:eastAsia="ja-JP"/>
        </w:rPr>
      </w:pPr>
      <w:r>
        <w:rPr>
          <w:lang w:eastAsia="ja-JP"/>
        </w:rPr>
        <w:lastRenderedPageBreak/>
        <w:t xml:space="preserve">1-3. </w:t>
      </w:r>
      <w:r>
        <w:rPr>
          <w:lang w:eastAsia="ja-JP"/>
        </w:rPr>
        <w:t>首都圏集中リスクの代表値</w:t>
      </w:r>
    </w:p>
    <w:p w14:paraId="44EBB2D5" w14:textId="77777777" w:rsidR="00F54324" w:rsidRDefault="00000000">
      <w:pPr>
        <w:jc w:val="center"/>
      </w:pPr>
      <w:r>
        <w:rPr>
          <w:noProof/>
        </w:rPr>
        <w:drawing>
          <wp:inline distT="0" distB="0" distL="0" distR="0" wp14:anchorId="0DD76C78" wp14:editId="1C6900F3">
            <wp:extent cx="5394960" cy="38082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02_Θ¢åΣ╕¡πâ¬πé╣πé»σ¢│.png"/>
                    <pic:cNvPicPr/>
                  </pic:nvPicPr>
                  <pic:blipFill>
                    <a:blip r:embed="rId9"/>
                    <a:stretch>
                      <a:fillRect/>
                    </a:stretch>
                  </pic:blipFill>
                  <pic:spPr>
                    <a:xfrm>
                      <a:off x="0" y="0"/>
                      <a:ext cx="5394960" cy="3808207"/>
                    </a:xfrm>
                    <a:prstGeom prst="rect">
                      <a:avLst/>
                    </a:prstGeom>
                  </pic:spPr>
                </pic:pic>
              </a:graphicData>
            </a:graphic>
          </wp:inline>
        </w:drawing>
      </w:r>
    </w:p>
    <w:p w14:paraId="213875DA" w14:textId="77777777" w:rsidR="00F54324" w:rsidRDefault="00000000">
      <w:pPr>
        <w:jc w:val="center"/>
        <w:rPr>
          <w:lang w:eastAsia="ja-JP"/>
        </w:rPr>
      </w:pPr>
      <w:r>
        <w:rPr>
          <w:lang w:eastAsia="ja-JP"/>
        </w:rPr>
        <w:t>図4　日本の構造的集中リスク図</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3249"/>
        <w:gridCol w:w="3249"/>
        <w:gridCol w:w="3249"/>
      </w:tblGrid>
      <w:tr w:rsidR="00F54324" w14:paraId="401AEF79" w14:textId="77777777">
        <w:trPr>
          <w:tblHeader/>
          <w:jc w:val="center"/>
        </w:trPr>
        <w:tc>
          <w:tcPr>
            <w:tcW w:w="3249" w:type="dxa"/>
            <w:shd w:val="clear" w:color="auto" w:fill="D9EAF7"/>
            <w:vAlign w:val="center"/>
          </w:tcPr>
          <w:p w14:paraId="0E0DED89" w14:textId="77777777" w:rsidR="00F54324" w:rsidRDefault="00000000">
            <w:proofErr w:type="spellStart"/>
            <w:r>
              <w:t>リスク</w:t>
            </w:r>
            <w:proofErr w:type="spellEnd"/>
          </w:p>
        </w:tc>
        <w:tc>
          <w:tcPr>
            <w:tcW w:w="3249" w:type="dxa"/>
            <w:shd w:val="clear" w:color="auto" w:fill="D9EAF7"/>
            <w:vAlign w:val="center"/>
          </w:tcPr>
          <w:p w14:paraId="475E633B" w14:textId="77777777" w:rsidR="00F54324" w:rsidRDefault="00000000">
            <w:r>
              <w:t>代表値</w:t>
            </w:r>
          </w:p>
        </w:tc>
        <w:tc>
          <w:tcPr>
            <w:tcW w:w="3249" w:type="dxa"/>
            <w:shd w:val="clear" w:color="auto" w:fill="D9EAF7"/>
            <w:vAlign w:val="center"/>
          </w:tcPr>
          <w:p w14:paraId="0B11ACB2" w14:textId="77777777" w:rsidR="00F54324" w:rsidRDefault="00000000">
            <w:r>
              <w:t>政策上の意味</w:t>
            </w:r>
          </w:p>
        </w:tc>
      </w:tr>
      <w:tr w:rsidR="00F54324" w14:paraId="696D914A" w14:textId="77777777">
        <w:trPr>
          <w:jc w:val="center"/>
        </w:trPr>
        <w:tc>
          <w:tcPr>
            <w:tcW w:w="3249" w:type="dxa"/>
          </w:tcPr>
          <w:p w14:paraId="6461C162" w14:textId="77777777" w:rsidR="00F54324" w:rsidRDefault="00000000">
            <w:r>
              <w:t>首都直下地震</w:t>
            </w:r>
          </w:p>
        </w:tc>
        <w:tc>
          <w:tcPr>
            <w:tcW w:w="3249" w:type="dxa"/>
          </w:tcPr>
          <w:p w14:paraId="1544B0EF" w14:textId="77777777" w:rsidR="00F54324" w:rsidRDefault="00000000">
            <w:r>
              <w:t>被害額 約95兆円規模</w:t>
            </w:r>
          </w:p>
        </w:tc>
        <w:tc>
          <w:tcPr>
            <w:tcW w:w="3249" w:type="dxa"/>
          </w:tcPr>
          <w:p w14:paraId="07447C9F" w14:textId="77777777" w:rsidR="00F54324" w:rsidRDefault="00000000">
            <w:pPr>
              <w:rPr>
                <w:lang w:eastAsia="ja-JP"/>
              </w:rPr>
            </w:pPr>
            <w:r>
              <w:rPr>
                <w:lang w:eastAsia="ja-JP"/>
              </w:rPr>
              <w:t>行政・金融・物流・交通の同時麻痺リスク</w:t>
            </w:r>
          </w:p>
        </w:tc>
      </w:tr>
      <w:tr w:rsidR="00F54324" w14:paraId="5AD12EE7" w14:textId="77777777">
        <w:trPr>
          <w:jc w:val="center"/>
        </w:trPr>
        <w:tc>
          <w:tcPr>
            <w:tcW w:w="3249" w:type="dxa"/>
          </w:tcPr>
          <w:p w14:paraId="2B6BA032" w14:textId="77777777" w:rsidR="00F54324" w:rsidRDefault="00000000">
            <w:proofErr w:type="spellStart"/>
            <w:r>
              <w:t>南海トラフ巨大地震</w:t>
            </w:r>
            <w:proofErr w:type="spellEnd"/>
          </w:p>
        </w:tc>
        <w:tc>
          <w:tcPr>
            <w:tcW w:w="3249" w:type="dxa"/>
          </w:tcPr>
          <w:p w14:paraId="5AED6F9C" w14:textId="77777777" w:rsidR="00F54324" w:rsidRDefault="00000000">
            <w:pPr>
              <w:rPr>
                <w:lang w:eastAsia="ja-JP"/>
              </w:rPr>
            </w:pPr>
            <w:r>
              <w:rPr>
                <w:lang w:eastAsia="ja-JP"/>
              </w:rPr>
              <w:t>被害額 100兆円超級レンジ</w:t>
            </w:r>
          </w:p>
        </w:tc>
        <w:tc>
          <w:tcPr>
            <w:tcW w:w="3249" w:type="dxa"/>
          </w:tcPr>
          <w:p w14:paraId="61DF9E85" w14:textId="77777777" w:rsidR="00F54324" w:rsidRDefault="00000000">
            <w:pPr>
              <w:rPr>
                <w:lang w:eastAsia="ja-JP"/>
              </w:rPr>
            </w:pPr>
            <w:r>
              <w:rPr>
                <w:lang w:eastAsia="ja-JP"/>
              </w:rPr>
              <w:t>太平洋ベルト機能停止による長期影響</w:t>
            </w:r>
          </w:p>
        </w:tc>
      </w:tr>
      <w:tr w:rsidR="00F54324" w14:paraId="49F57F0B" w14:textId="77777777">
        <w:trPr>
          <w:jc w:val="center"/>
        </w:trPr>
        <w:tc>
          <w:tcPr>
            <w:tcW w:w="3249" w:type="dxa"/>
          </w:tcPr>
          <w:p w14:paraId="260144E9" w14:textId="77777777" w:rsidR="00F54324" w:rsidRDefault="00000000">
            <w:proofErr w:type="spellStart"/>
            <w:r>
              <w:t>首都圏集中</w:t>
            </w:r>
            <w:proofErr w:type="spellEnd"/>
          </w:p>
        </w:tc>
        <w:tc>
          <w:tcPr>
            <w:tcW w:w="3249" w:type="dxa"/>
          </w:tcPr>
          <w:p w14:paraId="19BD7530" w14:textId="77777777" w:rsidR="00F54324" w:rsidRDefault="00000000">
            <w:pPr>
              <w:rPr>
                <w:lang w:eastAsia="ja-JP"/>
              </w:rPr>
            </w:pPr>
            <w:r>
              <w:rPr>
                <w:lang w:eastAsia="ja-JP"/>
              </w:rPr>
              <w:t>人口・金融・行政・防衛・計算基盤の過集中</w:t>
            </w:r>
          </w:p>
        </w:tc>
        <w:tc>
          <w:tcPr>
            <w:tcW w:w="3249" w:type="dxa"/>
          </w:tcPr>
          <w:p w14:paraId="14458469" w14:textId="77777777" w:rsidR="00F54324" w:rsidRDefault="00000000">
            <w:pPr>
              <w:rPr>
                <w:lang w:eastAsia="ja-JP"/>
              </w:rPr>
            </w:pPr>
            <w:r>
              <w:rPr>
                <w:lang w:eastAsia="ja-JP"/>
              </w:rPr>
              <w:t>単一障害点化の回避が必要</w:t>
            </w:r>
          </w:p>
        </w:tc>
      </w:tr>
    </w:tbl>
    <w:p w14:paraId="6A17AD19" w14:textId="77777777" w:rsidR="00F54324" w:rsidRDefault="00000000" w:rsidP="00065ECE">
      <w:pPr>
        <w:spacing w:before="60" w:after="120"/>
        <w:jc w:val="right"/>
        <w:rPr>
          <w:lang w:eastAsia="ja-JP"/>
        </w:rPr>
      </w:pPr>
      <w:r>
        <w:rPr>
          <w:i/>
          <w:color w:val="666666"/>
          <w:sz w:val="19"/>
          <w:lang w:eastAsia="ja-JP"/>
        </w:rPr>
        <w:t>→ 参照：別紙A「災害・物流データ集」</w:t>
      </w:r>
    </w:p>
    <w:p w14:paraId="29588BB3" w14:textId="77777777" w:rsidR="00F54324" w:rsidRDefault="00000000">
      <w:pPr>
        <w:pStyle w:val="21"/>
      </w:pPr>
      <w:r>
        <w:t xml:space="preserve">2. </w:t>
      </w:r>
      <w:proofErr w:type="spellStart"/>
      <w:r>
        <w:t>基本思想</w:t>
      </w:r>
      <w:proofErr w:type="spellEnd"/>
    </w:p>
    <w:p w14:paraId="44F40FEB" w14:textId="77777777" w:rsidR="00F54324" w:rsidRDefault="00000000">
      <w:pPr>
        <w:pStyle w:val="a0"/>
      </w:pPr>
      <w:r>
        <w:t>軍拡ではなく「分散」</w:t>
      </w:r>
    </w:p>
    <w:p w14:paraId="6213858F" w14:textId="77777777" w:rsidR="00F54324" w:rsidRDefault="00000000">
      <w:pPr>
        <w:pStyle w:val="a0"/>
        <w:rPr>
          <w:lang w:eastAsia="ja-JP"/>
        </w:rPr>
      </w:pPr>
      <w:r>
        <w:rPr>
          <w:lang w:eastAsia="ja-JP"/>
        </w:rPr>
        <w:t>中央集権ではなく「多極化」</w:t>
      </w:r>
    </w:p>
    <w:p w14:paraId="21F79AF7" w14:textId="77777777" w:rsidR="00F54324" w:rsidRDefault="00000000">
      <w:pPr>
        <w:pStyle w:val="a0"/>
        <w:rPr>
          <w:lang w:eastAsia="ja-JP"/>
        </w:rPr>
      </w:pPr>
      <w:r>
        <w:rPr>
          <w:lang w:eastAsia="ja-JP"/>
        </w:rPr>
        <w:t>単独抑止ではなく「共同利害構造」</w:t>
      </w:r>
    </w:p>
    <w:p w14:paraId="3300AB4E" w14:textId="77777777" w:rsidR="00F54324" w:rsidRDefault="00000000">
      <w:pPr>
        <w:pStyle w:val="a0"/>
        <w:rPr>
          <w:lang w:eastAsia="ja-JP"/>
        </w:rPr>
      </w:pPr>
      <w:r>
        <w:rPr>
          <w:lang w:eastAsia="ja-JP"/>
        </w:rPr>
        <w:t>防衛だけでなく「経済固定化」</w:t>
      </w:r>
    </w:p>
    <w:p w14:paraId="3BB8A44E" w14:textId="77777777" w:rsidR="00F54324" w:rsidRDefault="00000000">
      <w:pPr>
        <w:pStyle w:val="a0"/>
        <w:rPr>
          <w:lang w:eastAsia="ja-JP"/>
        </w:rPr>
      </w:pPr>
      <w:r>
        <w:rPr>
          <w:lang w:eastAsia="ja-JP"/>
        </w:rPr>
        <w:t>単一AI依存ではなく「多AI共存と人間主体性の確保」</w:t>
      </w:r>
    </w:p>
    <w:p w14:paraId="35841D6D" w14:textId="77777777" w:rsidR="00F54324" w:rsidRDefault="00000000">
      <w:pPr>
        <w:pStyle w:val="21"/>
      </w:pPr>
      <w:r>
        <w:lastRenderedPageBreak/>
        <w:t xml:space="preserve">3. </w:t>
      </w:r>
      <w:proofErr w:type="spellStart"/>
      <w:r>
        <w:t>四本の矢（全体構造</w:t>
      </w:r>
      <w:proofErr w:type="spellEnd"/>
      <w:r>
        <w:t>）</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3249"/>
        <w:gridCol w:w="3249"/>
        <w:gridCol w:w="3249"/>
      </w:tblGrid>
      <w:tr w:rsidR="00F54324" w14:paraId="4B2CA2E5" w14:textId="77777777">
        <w:trPr>
          <w:tblHeader/>
          <w:jc w:val="center"/>
        </w:trPr>
        <w:tc>
          <w:tcPr>
            <w:tcW w:w="3249" w:type="dxa"/>
            <w:shd w:val="clear" w:color="auto" w:fill="D9EAF7"/>
            <w:vAlign w:val="center"/>
          </w:tcPr>
          <w:p w14:paraId="2869B751" w14:textId="77777777" w:rsidR="00F54324" w:rsidRDefault="00000000">
            <w:r>
              <w:t>矢</w:t>
            </w:r>
          </w:p>
        </w:tc>
        <w:tc>
          <w:tcPr>
            <w:tcW w:w="3249" w:type="dxa"/>
            <w:shd w:val="clear" w:color="auto" w:fill="D9EAF7"/>
            <w:vAlign w:val="center"/>
          </w:tcPr>
          <w:p w14:paraId="7AAA544C" w14:textId="77777777" w:rsidR="00F54324" w:rsidRDefault="00000000">
            <w:r>
              <w:t>主内容</w:t>
            </w:r>
          </w:p>
        </w:tc>
        <w:tc>
          <w:tcPr>
            <w:tcW w:w="3249" w:type="dxa"/>
            <w:shd w:val="clear" w:color="auto" w:fill="D9EAF7"/>
            <w:vAlign w:val="center"/>
          </w:tcPr>
          <w:p w14:paraId="7370D873" w14:textId="77777777" w:rsidR="00F54324" w:rsidRDefault="00000000">
            <w:r>
              <w:t>概算</w:t>
            </w:r>
          </w:p>
        </w:tc>
      </w:tr>
      <w:tr w:rsidR="00F54324" w14:paraId="1D29BBB1" w14:textId="77777777">
        <w:trPr>
          <w:jc w:val="center"/>
        </w:trPr>
        <w:tc>
          <w:tcPr>
            <w:tcW w:w="3249" w:type="dxa"/>
          </w:tcPr>
          <w:p w14:paraId="0A72136C" w14:textId="77777777" w:rsidR="00F54324" w:rsidRDefault="00000000">
            <w:r>
              <w:t>第一の矢</w:t>
            </w:r>
          </w:p>
        </w:tc>
        <w:tc>
          <w:tcPr>
            <w:tcW w:w="3249" w:type="dxa"/>
          </w:tcPr>
          <w:p w14:paraId="555FBCBF" w14:textId="77777777" w:rsidR="00F54324" w:rsidRDefault="00000000">
            <w:pPr>
              <w:rPr>
                <w:lang w:eastAsia="ja-JP"/>
              </w:rPr>
            </w:pPr>
            <w:r>
              <w:rPr>
                <w:lang w:eastAsia="ja-JP"/>
              </w:rPr>
              <w:t>北の経済・物流・エネルギー・計算基盤の整備</w:t>
            </w:r>
          </w:p>
        </w:tc>
        <w:tc>
          <w:tcPr>
            <w:tcW w:w="3249" w:type="dxa"/>
          </w:tcPr>
          <w:p w14:paraId="54D8D329" w14:textId="77777777" w:rsidR="00F54324" w:rsidRDefault="00000000">
            <w:r>
              <w:t>約10兆円</w:t>
            </w:r>
          </w:p>
        </w:tc>
      </w:tr>
      <w:tr w:rsidR="00F54324" w14:paraId="7C99C04B" w14:textId="77777777">
        <w:trPr>
          <w:jc w:val="center"/>
        </w:trPr>
        <w:tc>
          <w:tcPr>
            <w:tcW w:w="3249" w:type="dxa"/>
          </w:tcPr>
          <w:p w14:paraId="65122913" w14:textId="77777777" w:rsidR="00F54324" w:rsidRDefault="00000000">
            <w:r>
              <w:t>第二の矢</w:t>
            </w:r>
          </w:p>
        </w:tc>
        <w:tc>
          <w:tcPr>
            <w:tcW w:w="3249" w:type="dxa"/>
          </w:tcPr>
          <w:p w14:paraId="04BEAB74" w14:textId="77777777" w:rsidR="00F54324" w:rsidRDefault="00000000">
            <w:pPr>
              <w:rPr>
                <w:lang w:eastAsia="ja-JP"/>
              </w:rPr>
            </w:pPr>
            <w:r>
              <w:rPr>
                <w:lang w:eastAsia="ja-JP"/>
              </w:rPr>
              <w:t>三沢分散防衛拠点による首都圏機能の冗長化</w:t>
            </w:r>
          </w:p>
        </w:tc>
        <w:tc>
          <w:tcPr>
            <w:tcW w:w="3249" w:type="dxa"/>
          </w:tcPr>
          <w:p w14:paraId="21C423AF" w14:textId="77777777" w:rsidR="00F54324" w:rsidRDefault="00000000">
            <w:r>
              <w:t>約2兆円</w:t>
            </w:r>
          </w:p>
        </w:tc>
      </w:tr>
      <w:tr w:rsidR="00F54324" w14:paraId="1C080C51" w14:textId="77777777">
        <w:trPr>
          <w:jc w:val="center"/>
        </w:trPr>
        <w:tc>
          <w:tcPr>
            <w:tcW w:w="3249" w:type="dxa"/>
          </w:tcPr>
          <w:p w14:paraId="317307A4" w14:textId="77777777" w:rsidR="00F54324" w:rsidRDefault="00000000">
            <w:r>
              <w:t>第三の矢</w:t>
            </w:r>
          </w:p>
        </w:tc>
        <w:tc>
          <w:tcPr>
            <w:tcW w:w="3249" w:type="dxa"/>
          </w:tcPr>
          <w:p w14:paraId="24F8E4F0" w14:textId="77777777" w:rsidR="00F54324" w:rsidRDefault="00000000">
            <w:pPr>
              <w:rPr>
                <w:lang w:eastAsia="ja-JP"/>
              </w:rPr>
            </w:pPr>
            <w:r>
              <w:rPr>
                <w:lang w:eastAsia="ja-JP"/>
              </w:rPr>
              <w:t>車力統合運用拠点による日本海側の深度確保</w:t>
            </w:r>
          </w:p>
        </w:tc>
        <w:tc>
          <w:tcPr>
            <w:tcW w:w="3249" w:type="dxa"/>
          </w:tcPr>
          <w:p w14:paraId="7B73942A" w14:textId="77777777" w:rsidR="00F54324" w:rsidRDefault="00000000">
            <w:r>
              <w:t>約2兆円</w:t>
            </w:r>
          </w:p>
        </w:tc>
      </w:tr>
      <w:tr w:rsidR="00F54324" w14:paraId="67CA62BD" w14:textId="77777777">
        <w:trPr>
          <w:jc w:val="center"/>
        </w:trPr>
        <w:tc>
          <w:tcPr>
            <w:tcW w:w="3249" w:type="dxa"/>
          </w:tcPr>
          <w:p w14:paraId="7BCD390B" w14:textId="77777777" w:rsidR="00F54324" w:rsidRDefault="00000000">
            <w:r>
              <w:t>第四の矢</w:t>
            </w:r>
          </w:p>
        </w:tc>
        <w:tc>
          <w:tcPr>
            <w:tcW w:w="3249" w:type="dxa"/>
          </w:tcPr>
          <w:p w14:paraId="0B124EFD" w14:textId="77777777" w:rsidR="00F54324" w:rsidRDefault="00000000">
            <w:pPr>
              <w:rPr>
                <w:lang w:eastAsia="ja-JP"/>
              </w:rPr>
            </w:pPr>
            <w:r>
              <w:rPr>
                <w:lang w:eastAsia="ja-JP"/>
              </w:rPr>
              <w:t>NEASIFによる国際共同投資レイヤーの構築</w:t>
            </w:r>
          </w:p>
        </w:tc>
        <w:tc>
          <w:tcPr>
            <w:tcW w:w="3249" w:type="dxa"/>
          </w:tcPr>
          <w:p w14:paraId="586CFA47" w14:textId="77777777" w:rsidR="00F54324" w:rsidRDefault="00000000">
            <w:r>
              <w:t>初期3〜5兆円／最終最大10兆円</w:t>
            </w:r>
          </w:p>
        </w:tc>
      </w:tr>
    </w:tbl>
    <w:p w14:paraId="5A3ACA8B" w14:textId="77777777" w:rsidR="00F54324" w:rsidRDefault="00000000">
      <w:pPr>
        <w:pStyle w:val="1"/>
        <w:rPr>
          <w:lang w:eastAsia="ja-JP"/>
        </w:rPr>
      </w:pPr>
      <w:r>
        <w:rPr>
          <w:lang w:eastAsia="ja-JP"/>
        </w:rPr>
        <w:t>第</w:t>
      </w:r>
      <w:r>
        <w:rPr>
          <w:lang w:eastAsia="ja-JP"/>
        </w:rPr>
        <w:t>2</w:t>
      </w:r>
      <w:r>
        <w:rPr>
          <w:lang w:eastAsia="ja-JP"/>
        </w:rPr>
        <w:t>部　実装編</w:t>
      </w:r>
    </w:p>
    <w:p w14:paraId="1C792731" w14:textId="77777777" w:rsidR="00F54324" w:rsidRDefault="00000000">
      <w:pPr>
        <w:pStyle w:val="21"/>
        <w:rPr>
          <w:lang w:eastAsia="ja-JP"/>
        </w:rPr>
      </w:pPr>
      <w:r>
        <w:rPr>
          <w:lang w:eastAsia="ja-JP"/>
        </w:rPr>
        <w:t xml:space="preserve">3-1. </w:t>
      </w:r>
      <w:r>
        <w:rPr>
          <w:lang w:eastAsia="ja-JP"/>
        </w:rPr>
        <w:t>第一の矢：北の経済・物流中枢形成</w:t>
      </w:r>
    </w:p>
    <w:p w14:paraId="6EE13D78" w14:textId="77777777" w:rsidR="00F54324" w:rsidRDefault="00000000">
      <w:pPr>
        <w:rPr>
          <w:lang w:eastAsia="ja-JP"/>
        </w:rPr>
      </w:pPr>
      <w:r>
        <w:rPr>
          <w:lang w:eastAsia="ja-JP"/>
        </w:rPr>
        <w:t>第一の矢は、本構想の実体である。メガフロート、港湾・空港、八甲田エネルギー基盤、データセンター、半導体後工程・材料産業を一体で整備し、平時は成長投資として、非常時は国家継続性の保険として機能させる。</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3249"/>
        <w:gridCol w:w="3249"/>
        <w:gridCol w:w="3249"/>
      </w:tblGrid>
      <w:tr w:rsidR="00F54324" w14:paraId="3045C6DE" w14:textId="77777777">
        <w:trPr>
          <w:tblHeader/>
          <w:jc w:val="center"/>
        </w:trPr>
        <w:tc>
          <w:tcPr>
            <w:tcW w:w="3249" w:type="dxa"/>
            <w:shd w:val="clear" w:color="auto" w:fill="D9EAF7"/>
            <w:vAlign w:val="center"/>
          </w:tcPr>
          <w:p w14:paraId="5200070C" w14:textId="77777777" w:rsidR="00F54324" w:rsidRDefault="00000000">
            <w:proofErr w:type="spellStart"/>
            <w:r>
              <w:t>要素</w:t>
            </w:r>
            <w:proofErr w:type="spellEnd"/>
          </w:p>
        </w:tc>
        <w:tc>
          <w:tcPr>
            <w:tcW w:w="3249" w:type="dxa"/>
            <w:shd w:val="clear" w:color="auto" w:fill="D9EAF7"/>
            <w:vAlign w:val="center"/>
          </w:tcPr>
          <w:p w14:paraId="661B4B45" w14:textId="77777777" w:rsidR="00F54324" w:rsidRDefault="00000000">
            <w:r>
              <w:t>本文に残す要点</w:t>
            </w:r>
          </w:p>
        </w:tc>
        <w:tc>
          <w:tcPr>
            <w:tcW w:w="3249" w:type="dxa"/>
            <w:shd w:val="clear" w:color="auto" w:fill="D9EAF7"/>
            <w:vAlign w:val="center"/>
          </w:tcPr>
          <w:p w14:paraId="40239632" w14:textId="77777777" w:rsidR="00F54324" w:rsidRDefault="00000000">
            <w:r>
              <w:t>代表値</w:t>
            </w:r>
          </w:p>
        </w:tc>
      </w:tr>
      <w:tr w:rsidR="00F54324" w14:paraId="402B5BEC" w14:textId="77777777">
        <w:trPr>
          <w:jc w:val="center"/>
        </w:trPr>
        <w:tc>
          <w:tcPr>
            <w:tcW w:w="3249" w:type="dxa"/>
          </w:tcPr>
          <w:p w14:paraId="7FEB1028" w14:textId="77777777" w:rsidR="00F54324" w:rsidRDefault="00000000">
            <w:r>
              <w:t>メガフロート</w:t>
            </w:r>
          </w:p>
        </w:tc>
        <w:tc>
          <w:tcPr>
            <w:tcW w:w="3249" w:type="dxa"/>
          </w:tcPr>
          <w:p w14:paraId="77D7C2BE" w14:textId="77777777" w:rsidR="00F54324" w:rsidRDefault="00000000">
            <w:pPr>
              <w:rPr>
                <w:lang w:eastAsia="ja-JP"/>
              </w:rPr>
            </w:pPr>
            <w:r>
              <w:rPr>
                <w:lang w:eastAsia="ja-JP"/>
              </w:rPr>
              <w:t>港湾・産業・備蓄・DCを複合配置</w:t>
            </w:r>
          </w:p>
        </w:tc>
        <w:tc>
          <w:tcPr>
            <w:tcW w:w="3249" w:type="dxa"/>
          </w:tcPr>
          <w:p w14:paraId="2B56E8BD" w14:textId="77777777" w:rsidR="00F54324" w:rsidRDefault="00000000">
            <w:proofErr w:type="spellStart"/>
            <w:r>
              <w:t>中核拠点</w:t>
            </w:r>
            <w:proofErr w:type="spellEnd"/>
          </w:p>
        </w:tc>
      </w:tr>
      <w:tr w:rsidR="00F54324" w14:paraId="5199FA2B" w14:textId="77777777">
        <w:trPr>
          <w:jc w:val="center"/>
        </w:trPr>
        <w:tc>
          <w:tcPr>
            <w:tcW w:w="3249" w:type="dxa"/>
          </w:tcPr>
          <w:p w14:paraId="5A724E97" w14:textId="77777777" w:rsidR="00F54324" w:rsidRDefault="00000000">
            <w:r>
              <w:t>港湾・空港</w:t>
            </w:r>
          </w:p>
        </w:tc>
        <w:tc>
          <w:tcPr>
            <w:tcW w:w="3249" w:type="dxa"/>
          </w:tcPr>
          <w:p w14:paraId="6E3DD93C" w14:textId="77777777" w:rsidR="00F54324" w:rsidRDefault="00000000">
            <w:pPr>
              <w:rPr>
                <w:lang w:eastAsia="ja-JP"/>
              </w:rPr>
            </w:pPr>
            <w:r>
              <w:rPr>
                <w:lang w:eastAsia="ja-JP"/>
              </w:rPr>
              <w:t>冬季物流・災害時空輸・北方物流対応</w:t>
            </w:r>
          </w:p>
        </w:tc>
        <w:tc>
          <w:tcPr>
            <w:tcW w:w="3249" w:type="dxa"/>
          </w:tcPr>
          <w:p w14:paraId="55C3BF97" w14:textId="77777777" w:rsidR="00F54324" w:rsidRDefault="00000000">
            <w:proofErr w:type="spellStart"/>
            <w:r>
              <w:t>港湾＋貨物拠点</w:t>
            </w:r>
            <w:proofErr w:type="spellEnd"/>
          </w:p>
        </w:tc>
      </w:tr>
      <w:tr w:rsidR="00F54324" w14:paraId="3D249B3D" w14:textId="77777777">
        <w:trPr>
          <w:jc w:val="center"/>
        </w:trPr>
        <w:tc>
          <w:tcPr>
            <w:tcW w:w="3249" w:type="dxa"/>
          </w:tcPr>
          <w:p w14:paraId="1B1F1632" w14:textId="77777777" w:rsidR="00F54324" w:rsidRDefault="00000000">
            <w:r>
              <w:t>エネルギー</w:t>
            </w:r>
          </w:p>
        </w:tc>
        <w:tc>
          <w:tcPr>
            <w:tcW w:w="3249" w:type="dxa"/>
          </w:tcPr>
          <w:p w14:paraId="12A33616" w14:textId="77777777" w:rsidR="00F54324" w:rsidRDefault="00000000">
            <w:pPr>
              <w:rPr>
                <w:lang w:eastAsia="ja-JP"/>
              </w:rPr>
            </w:pPr>
            <w:r>
              <w:rPr>
                <w:lang w:eastAsia="ja-JP"/>
              </w:rPr>
              <w:t>地熱・送電・蓄電・冷却資源を一体整備</w:t>
            </w:r>
          </w:p>
        </w:tc>
        <w:tc>
          <w:tcPr>
            <w:tcW w:w="3249" w:type="dxa"/>
          </w:tcPr>
          <w:p w14:paraId="1A5EAD21" w14:textId="77777777" w:rsidR="00F54324" w:rsidRDefault="00000000">
            <w:r>
              <w:t>初期600〜800MW</w:t>
            </w:r>
          </w:p>
        </w:tc>
      </w:tr>
      <w:tr w:rsidR="00F54324" w14:paraId="5DA47C8B" w14:textId="77777777">
        <w:trPr>
          <w:jc w:val="center"/>
        </w:trPr>
        <w:tc>
          <w:tcPr>
            <w:tcW w:w="3249" w:type="dxa"/>
          </w:tcPr>
          <w:p w14:paraId="40643B3E" w14:textId="77777777" w:rsidR="00F54324" w:rsidRDefault="00000000">
            <w:r>
              <w:t>AI基盤</w:t>
            </w:r>
          </w:p>
        </w:tc>
        <w:tc>
          <w:tcPr>
            <w:tcW w:w="3249" w:type="dxa"/>
          </w:tcPr>
          <w:p w14:paraId="60418952" w14:textId="77777777" w:rsidR="00F54324" w:rsidRDefault="00000000">
            <w:pPr>
              <w:rPr>
                <w:lang w:eastAsia="ja-JP"/>
              </w:rPr>
            </w:pPr>
            <w:r>
              <w:rPr>
                <w:lang w:eastAsia="ja-JP"/>
              </w:rPr>
              <w:t>多AI共存を支える低コスト推論基盤</w:t>
            </w:r>
          </w:p>
        </w:tc>
        <w:tc>
          <w:tcPr>
            <w:tcW w:w="3249" w:type="dxa"/>
          </w:tcPr>
          <w:p w14:paraId="4D3DF9C9" w14:textId="77777777" w:rsidR="00F54324" w:rsidRDefault="00000000">
            <w:proofErr w:type="spellStart"/>
            <w:r>
              <w:t>DC・計算資本拠点</w:t>
            </w:r>
            <w:proofErr w:type="spellEnd"/>
          </w:p>
        </w:tc>
      </w:tr>
      <w:tr w:rsidR="00F54324" w14:paraId="186A67A2" w14:textId="77777777">
        <w:trPr>
          <w:jc w:val="center"/>
        </w:trPr>
        <w:tc>
          <w:tcPr>
            <w:tcW w:w="3249" w:type="dxa"/>
          </w:tcPr>
          <w:p w14:paraId="0A4AC940" w14:textId="77777777" w:rsidR="00F54324" w:rsidRDefault="00000000">
            <w:r>
              <w:t>半導体戦略</w:t>
            </w:r>
          </w:p>
        </w:tc>
        <w:tc>
          <w:tcPr>
            <w:tcW w:w="3249" w:type="dxa"/>
          </w:tcPr>
          <w:p w14:paraId="72174D2D" w14:textId="77777777" w:rsidR="00F54324" w:rsidRDefault="00000000">
            <w:pPr>
              <w:rPr>
                <w:lang w:eastAsia="ja-JP"/>
              </w:rPr>
            </w:pPr>
            <w:r>
              <w:rPr>
                <w:lang w:eastAsia="ja-JP"/>
              </w:rPr>
              <w:t>前工程でなく後工程・材料から入る</w:t>
            </w:r>
          </w:p>
        </w:tc>
        <w:tc>
          <w:tcPr>
            <w:tcW w:w="3249" w:type="dxa"/>
          </w:tcPr>
          <w:p w14:paraId="02F8A8A5" w14:textId="77777777" w:rsidR="00F54324" w:rsidRDefault="00000000">
            <w:proofErr w:type="spellStart"/>
            <w:r>
              <w:t>初期現実路線</w:t>
            </w:r>
            <w:proofErr w:type="spellEnd"/>
          </w:p>
        </w:tc>
      </w:tr>
    </w:tbl>
    <w:p w14:paraId="45167357" w14:textId="77777777" w:rsidR="00F54324" w:rsidRDefault="00000000">
      <w:pPr>
        <w:rPr>
          <w:lang w:eastAsia="ja-JP"/>
        </w:rPr>
      </w:pPr>
      <w:r>
        <w:rPr>
          <w:lang w:eastAsia="ja-JP"/>
        </w:rPr>
        <w:lastRenderedPageBreak/>
        <w:t>半導体は、前工程よりも後工程・材料から入る方が現実的である。理由は、必要電力・水量・初期投資・人材要件の面でハードルが比較的低く、地政学的摩擦も相対的に抑えやすいからである。まず後工程・材料で産業集積を作り、その上で将来の拡張余地を確保する。</w:t>
      </w:r>
    </w:p>
    <w:p w14:paraId="0953B803" w14:textId="77777777" w:rsidR="00F54324" w:rsidRDefault="00000000">
      <w:pPr>
        <w:pStyle w:val="31"/>
      </w:pPr>
      <w:proofErr w:type="spellStart"/>
      <w:r>
        <w:t>第一の矢の実装順</w:t>
      </w:r>
      <w:proofErr w:type="spellEnd"/>
    </w:p>
    <w:p w14:paraId="6BC6F1AD" w14:textId="77777777" w:rsidR="00F54324" w:rsidRDefault="00000000">
      <w:pPr>
        <w:pStyle w:val="a"/>
        <w:rPr>
          <w:lang w:eastAsia="ja-JP"/>
        </w:rPr>
      </w:pPr>
      <w:r>
        <w:rPr>
          <w:lang w:eastAsia="ja-JP"/>
        </w:rPr>
        <w:t>第1段階：地熱・送電・冷却・港湾基盤の先行整備</w:t>
      </w:r>
    </w:p>
    <w:p w14:paraId="4A326897" w14:textId="77777777" w:rsidR="00F54324" w:rsidRDefault="00000000">
      <w:pPr>
        <w:pStyle w:val="a"/>
        <w:rPr>
          <w:lang w:eastAsia="ja-JP"/>
        </w:rPr>
      </w:pPr>
      <w:r>
        <w:rPr>
          <w:lang w:eastAsia="ja-JP"/>
        </w:rPr>
        <w:t>第2段階：データセンター・後工程・材料産業の誘致</w:t>
      </w:r>
    </w:p>
    <w:p w14:paraId="0AE354AE" w14:textId="77777777" w:rsidR="00F54324" w:rsidRDefault="00000000">
      <w:pPr>
        <w:pStyle w:val="a"/>
        <w:rPr>
          <w:lang w:eastAsia="ja-JP"/>
        </w:rPr>
      </w:pPr>
      <w:r>
        <w:rPr>
          <w:lang w:eastAsia="ja-JP"/>
        </w:rPr>
        <w:t>第3段階：メガフロート拠点の本格稼働と国際投資接続</w:t>
      </w:r>
    </w:p>
    <w:p w14:paraId="4E34594C" w14:textId="77777777" w:rsidR="00F54324" w:rsidRDefault="00000000">
      <w:pPr>
        <w:jc w:val="center"/>
      </w:pPr>
      <w:r>
        <w:rPr>
          <w:noProof/>
        </w:rPr>
        <w:drawing>
          <wp:inline distT="0" distB="0" distL="0" distR="0" wp14:anchorId="03563D74" wp14:editId="1E803015">
            <wp:extent cx="5394960" cy="38082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05_τ¼¼Σ╕Çπü«τƒóσ«ƒΦúàπâ₧πââπâù.png"/>
                    <pic:cNvPicPr/>
                  </pic:nvPicPr>
                  <pic:blipFill>
                    <a:blip r:embed="rId10"/>
                    <a:stretch>
                      <a:fillRect/>
                    </a:stretch>
                  </pic:blipFill>
                  <pic:spPr>
                    <a:xfrm>
                      <a:off x="0" y="0"/>
                      <a:ext cx="5394960" cy="3808207"/>
                    </a:xfrm>
                    <a:prstGeom prst="rect">
                      <a:avLst/>
                    </a:prstGeom>
                  </pic:spPr>
                </pic:pic>
              </a:graphicData>
            </a:graphic>
          </wp:inline>
        </w:drawing>
      </w:r>
    </w:p>
    <w:p w14:paraId="49529A64" w14:textId="77777777" w:rsidR="00F54324" w:rsidRPr="00065ECE" w:rsidRDefault="00000000">
      <w:pPr>
        <w:jc w:val="center"/>
        <w:rPr>
          <w:szCs w:val="21"/>
          <w:lang w:eastAsia="ja-JP"/>
        </w:rPr>
      </w:pPr>
      <w:r w:rsidRPr="00065ECE">
        <w:rPr>
          <w:szCs w:val="21"/>
          <w:lang w:eastAsia="ja-JP"/>
        </w:rPr>
        <w:t>図5　第一の矢 実装マップ</w:t>
      </w:r>
    </w:p>
    <w:p w14:paraId="00F9C9BF" w14:textId="77777777" w:rsidR="00F54324" w:rsidRDefault="00000000">
      <w:pPr>
        <w:jc w:val="center"/>
      </w:pPr>
      <w:r>
        <w:rPr>
          <w:noProof/>
        </w:rPr>
        <w:lastRenderedPageBreak/>
        <w:drawing>
          <wp:inline distT="0" distB="0" distL="0" distR="0" wp14:anchorId="36C15E29" wp14:editId="33461E24">
            <wp:extent cx="5394960" cy="41255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13_σìèσ░ÄΣ╜ôµêªτòÑσ¢│.png"/>
                    <pic:cNvPicPr/>
                  </pic:nvPicPr>
                  <pic:blipFill>
                    <a:blip r:embed="rId11"/>
                    <a:stretch>
                      <a:fillRect/>
                    </a:stretch>
                  </pic:blipFill>
                  <pic:spPr>
                    <a:xfrm>
                      <a:off x="0" y="0"/>
                      <a:ext cx="5394960" cy="4125558"/>
                    </a:xfrm>
                    <a:prstGeom prst="rect">
                      <a:avLst/>
                    </a:prstGeom>
                  </pic:spPr>
                </pic:pic>
              </a:graphicData>
            </a:graphic>
          </wp:inline>
        </w:drawing>
      </w:r>
    </w:p>
    <w:p w14:paraId="09BD4895" w14:textId="77777777" w:rsidR="00F54324" w:rsidRDefault="00000000">
      <w:pPr>
        <w:jc w:val="center"/>
      </w:pPr>
      <w:r>
        <w:t>図6　半導体戦略図</w:t>
      </w:r>
    </w:p>
    <w:p w14:paraId="3D962557" w14:textId="77777777" w:rsidR="00F54324" w:rsidRDefault="00000000">
      <w:pPr>
        <w:jc w:val="center"/>
      </w:pPr>
      <w:r>
        <w:rPr>
          <w:noProof/>
        </w:rPr>
        <w:drawing>
          <wp:inline distT="0" distB="0" distL="0" distR="0" wp14:anchorId="23FF1D5A" wp14:editId="0D15CA1C">
            <wp:extent cx="6126480" cy="34716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青森DCモデル比較表.png"/>
                    <pic:cNvPicPr/>
                  </pic:nvPicPr>
                  <pic:blipFill>
                    <a:blip r:embed="rId12"/>
                    <a:stretch>
                      <a:fillRect/>
                    </a:stretch>
                  </pic:blipFill>
                  <pic:spPr>
                    <a:xfrm>
                      <a:off x="0" y="0"/>
                      <a:ext cx="6126480" cy="3471672"/>
                    </a:xfrm>
                    <a:prstGeom prst="rect">
                      <a:avLst/>
                    </a:prstGeom>
                  </pic:spPr>
                </pic:pic>
              </a:graphicData>
            </a:graphic>
          </wp:inline>
        </w:drawing>
      </w:r>
    </w:p>
    <w:p w14:paraId="44235C33" w14:textId="77777777" w:rsidR="00F54324" w:rsidRDefault="00000000">
      <w:pPr>
        <w:jc w:val="center"/>
        <w:rPr>
          <w:lang w:eastAsia="ja-JP"/>
        </w:rPr>
      </w:pPr>
      <w:r>
        <w:rPr>
          <w:lang w:eastAsia="ja-JP"/>
        </w:rPr>
        <w:t>図7　青森・陸奥湾モデルDCの戦略的優位比較</w:t>
      </w:r>
    </w:p>
    <w:p w14:paraId="1B94EDBE" w14:textId="77777777" w:rsidR="00F54324" w:rsidRDefault="00000000" w:rsidP="00762633">
      <w:pPr>
        <w:spacing w:before="60" w:after="120"/>
        <w:jc w:val="right"/>
        <w:rPr>
          <w:lang w:eastAsia="ja-JP"/>
        </w:rPr>
      </w:pPr>
      <w:r>
        <w:rPr>
          <w:i/>
          <w:color w:val="666666"/>
          <w:sz w:val="19"/>
          <w:lang w:eastAsia="ja-JP"/>
        </w:rPr>
        <w:t>→ 参照：別紙B「エネルギー・AI基盤データ集」</w:t>
      </w:r>
    </w:p>
    <w:p w14:paraId="3B714400" w14:textId="77777777" w:rsidR="00F54324" w:rsidRDefault="00000000">
      <w:pPr>
        <w:pStyle w:val="21"/>
        <w:rPr>
          <w:lang w:eastAsia="ja-JP"/>
        </w:rPr>
      </w:pPr>
      <w:r>
        <w:rPr>
          <w:lang w:eastAsia="ja-JP"/>
        </w:rPr>
        <w:lastRenderedPageBreak/>
        <w:t xml:space="preserve">3-2. </w:t>
      </w:r>
      <w:r>
        <w:rPr>
          <w:lang w:eastAsia="ja-JP"/>
        </w:rPr>
        <w:t>第二の矢：三沢分散防衛拠点</w:t>
      </w:r>
    </w:p>
    <w:p w14:paraId="034A93C3" w14:textId="77777777" w:rsidR="00F54324" w:rsidRDefault="00000000">
      <w:pPr>
        <w:rPr>
          <w:lang w:eastAsia="ja-JP"/>
        </w:rPr>
      </w:pPr>
      <w:r>
        <w:rPr>
          <w:lang w:eastAsia="ja-JP"/>
        </w:rPr>
        <w:t>第二の矢は、首都圏被災時や有事における横須賀・関東依存の偏りを緩和し、航空・情報・後方兵站機能を北へ分散する提案である。現行体制の否定ではなく、将来的な冗長化の選択肢として位置づける。</w:t>
      </w:r>
    </w:p>
    <w:p w14:paraId="5F13588F" w14:textId="77777777" w:rsidR="00DD0A55" w:rsidRDefault="00000000">
      <w:pPr>
        <w:rPr>
          <w:lang w:eastAsia="ja-JP"/>
        </w:rPr>
      </w:pPr>
      <w:r>
        <w:rPr>
          <w:lang w:eastAsia="ja-JP"/>
        </w:rPr>
        <w:t>第二の矢は、第一の矢が形成する北の経済・物流・エネルギー・計算基盤を、非常時にも機能させるための安全保障上の冗長レイヤーである。経済中枢と計算基盤だけを北へ置いても、それを守り、支え、代替運用できる航空・情報・兵站の層が伴わなければ国家継続性は成立しない。したがって三沢分散拠点は、第一の矢を単独の産業投資に終わらせず、国家的保険機能へ転換する接続点として位置づけられる。</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2436"/>
        <w:gridCol w:w="2436"/>
        <w:gridCol w:w="2436"/>
        <w:gridCol w:w="2436"/>
      </w:tblGrid>
      <w:tr w:rsidR="00F54324" w14:paraId="05F80CB2" w14:textId="77777777">
        <w:trPr>
          <w:tblHeader/>
          <w:jc w:val="center"/>
        </w:trPr>
        <w:tc>
          <w:tcPr>
            <w:tcW w:w="2436" w:type="dxa"/>
            <w:shd w:val="clear" w:color="auto" w:fill="D9EAF7"/>
            <w:vAlign w:val="center"/>
          </w:tcPr>
          <w:p w14:paraId="0439530D" w14:textId="77777777" w:rsidR="00F54324" w:rsidRDefault="00000000">
            <w:proofErr w:type="spellStart"/>
            <w:r>
              <w:t>項目</w:t>
            </w:r>
            <w:proofErr w:type="spellEnd"/>
          </w:p>
        </w:tc>
        <w:tc>
          <w:tcPr>
            <w:tcW w:w="2436" w:type="dxa"/>
            <w:shd w:val="clear" w:color="auto" w:fill="D9EAF7"/>
            <w:vAlign w:val="center"/>
          </w:tcPr>
          <w:p w14:paraId="2633CFD3" w14:textId="77777777" w:rsidR="00F54324" w:rsidRDefault="00000000">
            <w:r>
              <w:t>現状</w:t>
            </w:r>
          </w:p>
        </w:tc>
        <w:tc>
          <w:tcPr>
            <w:tcW w:w="2436" w:type="dxa"/>
            <w:shd w:val="clear" w:color="auto" w:fill="D9EAF7"/>
            <w:vAlign w:val="center"/>
          </w:tcPr>
          <w:p w14:paraId="2CB88AAD" w14:textId="77777777" w:rsidR="00F54324" w:rsidRDefault="00000000">
            <w:r>
              <w:t>不足</w:t>
            </w:r>
          </w:p>
        </w:tc>
        <w:tc>
          <w:tcPr>
            <w:tcW w:w="2436" w:type="dxa"/>
            <w:shd w:val="clear" w:color="auto" w:fill="D9EAF7"/>
            <w:vAlign w:val="center"/>
          </w:tcPr>
          <w:p w14:paraId="3EACCB17" w14:textId="77777777" w:rsidR="00F54324" w:rsidRDefault="00000000">
            <w:r>
              <w:t>補完方向</w:t>
            </w:r>
          </w:p>
        </w:tc>
      </w:tr>
      <w:tr w:rsidR="00F54324" w14:paraId="0230446D" w14:textId="77777777">
        <w:trPr>
          <w:jc w:val="center"/>
        </w:trPr>
        <w:tc>
          <w:tcPr>
            <w:tcW w:w="2436" w:type="dxa"/>
          </w:tcPr>
          <w:p w14:paraId="180BCC41" w14:textId="77777777" w:rsidR="00F54324" w:rsidRDefault="00000000">
            <w:r>
              <w:t>航空・展開</w:t>
            </w:r>
          </w:p>
        </w:tc>
        <w:tc>
          <w:tcPr>
            <w:tcW w:w="2436" w:type="dxa"/>
          </w:tcPr>
          <w:p w14:paraId="17A786F3" w14:textId="77777777" w:rsidR="00F54324" w:rsidRDefault="00000000">
            <w:pPr>
              <w:rPr>
                <w:lang w:eastAsia="ja-JP"/>
              </w:rPr>
            </w:pPr>
            <w:r>
              <w:rPr>
                <w:lang w:eastAsia="ja-JP"/>
              </w:rPr>
              <w:t>航空戦力・共同運用基盤あり</w:t>
            </w:r>
          </w:p>
        </w:tc>
        <w:tc>
          <w:tcPr>
            <w:tcW w:w="2436" w:type="dxa"/>
          </w:tcPr>
          <w:p w14:paraId="10F0C7A3" w14:textId="77777777" w:rsidR="00F54324" w:rsidRDefault="00000000">
            <w:pPr>
              <w:rPr>
                <w:lang w:eastAsia="ja-JP"/>
              </w:rPr>
            </w:pPr>
            <w:r>
              <w:rPr>
                <w:lang w:eastAsia="ja-JP"/>
              </w:rPr>
              <w:t>首都圏バックアップとしての厚み不足</w:t>
            </w:r>
          </w:p>
        </w:tc>
        <w:tc>
          <w:tcPr>
            <w:tcW w:w="2436" w:type="dxa"/>
          </w:tcPr>
          <w:p w14:paraId="002763E7" w14:textId="77777777" w:rsidR="00F54324" w:rsidRDefault="00000000">
            <w:proofErr w:type="spellStart"/>
            <w:r>
              <w:t>分散展開能力の強化</w:t>
            </w:r>
            <w:proofErr w:type="spellEnd"/>
          </w:p>
        </w:tc>
      </w:tr>
      <w:tr w:rsidR="00F54324" w14:paraId="2DDF2A1D" w14:textId="77777777">
        <w:trPr>
          <w:jc w:val="center"/>
        </w:trPr>
        <w:tc>
          <w:tcPr>
            <w:tcW w:w="2436" w:type="dxa"/>
          </w:tcPr>
          <w:p w14:paraId="10BDC339" w14:textId="77777777" w:rsidR="00F54324" w:rsidRDefault="00000000">
            <w:r>
              <w:t>後方兵站</w:t>
            </w:r>
          </w:p>
        </w:tc>
        <w:tc>
          <w:tcPr>
            <w:tcW w:w="2436" w:type="dxa"/>
          </w:tcPr>
          <w:p w14:paraId="5AF71758" w14:textId="77777777" w:rsidR="00F54324" w:rsidRDefault="00000000">
            <w:pPr>
              <w:rPr>
                <w:lang w:eastAsia="ja-JP"/>
              </w:rPr>
            </w:pPr>
            <w:r>
              <w:rPr>
                <w:lang w:eastAsia="ja-JP"/>
              </w:rPr>
              <w:t>物資・整備拠点機能あり</w:t>
            </w:r>
          </w:p>
        </w:tc>
        <w:tc>
          <w:tcPr>
            <w:tcW w:w="2436" w:type="dxa"/>
          </w:tcPr>
          <w:p w14:paraId="54476704" w14:textId="77777777" w:rsidR="00F54324" w:rsidRDefault="00000000">
            <w:pPr>
              <w:rPr>
                <w:lang w:eastAsia="ja-JP"/>
              </w:rPr>
            </w:pPr>
            <w:r>
              <w:rPr>
                <w:lang w:eastAsia="ja-JP"/>
              </w:rPr>
              <w:t>大規模代替拠点としては追加整備必要</w:t>
            </w:r>
          </w:p>
        </w:tc>
        <w:tc>
          <w:tcPr>
            <w:tcW w:w="2436" w:type="dxa"/>
          </w:tcPr>
          <w:p w14:paraId="5247F718" w14:textId="77777777" w:rsidR="00F54324" w:rsidRDefault="00000000">
            <w:pPr>
              <w:rPr>
                <w:lang w:eastAsia="ja-JP"/>
              </w:rPr>
            </w:pPr>
            <w:r>
              <w:rPr>
                <w:lang w:eastAsia="ja-JP"/>
              </w:rPr>
              <w:t>備蓄・整備・輸送の強化</w:t>
            </w:r>
          </w:p>
        </w:tc>
      </w:tr>
      <w:tr w:rsidR="00F54324" w14:paraId="7E4020B1" w14:textId="77777777">
        <w:trPr>
          <w:jc w:val="center"/>
        </w:trPr>
        <w:tc>
          <w:tcPr>
            <w:tcW w:w="2436" w:type="dxa"/>
          </w:tcPr>
          <w:p w14:paraId="655F5E91" w14:textId="77777777" w:rsidR="00F54324" w:rsidRDefault="00000000">
            <w:proofErr w:type="spellStart"/>
            <w:r>
              <w:t>情報・支援</w:t>
            </w:r>
            <w:proofErr w:type="spellEnd"/>
          </w:p>
        </w:tc>
        <w:tc>
          <w:tcPr>
            <w:tcW w:w="2436" w:type="dxa"/>
          </w:tcPr>
          <w:p w14:paraId="16BBDE2F" w14:textId="77777777" w:rsidR="00F54324" w:rsidRDefault="00000000">
            <w:pPr>
              <w:rPr>
                <w:lang w:eastAsia="ja-JP"/>
              </w:rPr>
            </w:pPr>
            <w:r>
              <w:rPr>
                <w:lang w:eastAsia="ja-JP"/>
              </w:rPr>
              <w:t>情報・警戒・日米連携あり</w:t>
            </w:r>
          </w:p>
        </w:tc>
        <w:tc>
          <w:tcPr>
            <w:tcW w:w="2436" w:type="dxa"/>
          </w:tcPr>
          <w:p w14:paraId="40476E11" w14:textId="77777777" w:rsidR="00F54324" w:rsidRDefault="00000000">
            <w:pPr>
              <w:rPr>
                <w:lang w:eastAsia="ja-JP"/>
              </w:rPr>
            </w:pPr>
            <w:r>
              <w:rPr>
                <w:lang w:eastAsia="ja-JP"/>
              </w:rPr>
              <w:t>非常時の代替中枢性が弱い</w:t>
            </w:r>
          </w:p>
        </w:tc>
        <w:tc>
          <w:tcPr>
            <w:tcW w:w="2436" w:type="dxa"/>
          </w:tcPr>
          <w:p w14:paraId="0F565679" w14:textId="77777777" w:rsidR="00F54324" w:rsidRDefault="00000000">
            <w:pPr>
              <w:rPr>
                <w:lang w:eastAsia="ja-JP"/>
              </w:rPr>
            </w:pPr>
            <w:r>
              <w:rPr>
                <w:lang w:eastAsia="ja-JP"/>
              </w:rPr>
              <w:t>首都圏被災時の補完層を形成</w:t>
            </w:r>
          </w:p>
        </w:tc>
      </w:tr>
    </w:tbl>
    <w:p w14:paraId="7D33241A" w14:textId="77777777" w:rsidR="00F54324" w:rsidRDefault="00000000">
      <w:pPr>
        <w:pStyle w:val="21"/>
        <w:rPr>
          <w:lang w:eastAsia="ja-JP"/>
        </w:rPr>
      </w:pPr>
      <w:r>
        <w:rPr>
          <w:lang w:eastAsia="ja-JP"/>
        </w:rPr>
        <w:t xml:space="preserve">3-3. </w:t>
      </w:r>
      <w:r>
        <w:rPr>
          <w:lang w:eastAsia="ja-JP"/>
        </w:rPr>
        <w:t>第三の矢：車力統合基地構想</w:t>
      </w:r>
    </w:p>
    <w:p w14:paraId="2DFCF8C0" w14:textId="77777777" w:rsidR="00F54324" w:rsidRDefault="00000000">
      <w:pPr>
        <w:rPr>
          <w:lang w:eastAsia="ja-JP"/>
        </w:rPr>
      </w:pPr>
      <w:r>
        <w:rPr>
          <w:lang w:eastAsia="ja-JP"/>
        </w:rPr>
        <w:t>第三の矢は、日本海側の監視・観測・指揮・通信を冗長化し、国家継続性を高める構想である。防衛運用の細部ではなく、統合・効率化・継続性の方向性を示す政策提案として整理する。</w:t>
      </w:r>
    </w:p>
    <w:p w14:paraId="5CDFA89A" w14:textId="77777777" w:rsidR="00DD0A55" w:rsidRDefault="00000000">
      <w:pPr>
        <w:rPr>
          <w:lang w:eastAsia="ja-JP"/>
        </w:rPr>
      </w:pPr>
      <w:r>
        <w:rPr>
          <w:lang w:eastAsia="ja-JP"/>
        </w:rPr>
        <w:t>第三の矢は、第二の矢を補完しつつ、第一の矢が支える北の経済・物流・計算基盤を日本海側から支える統合運用レイヤーである。すなわち、三沢が首都圏代替と航空・兵站の冗長化を担うのに対し、車力は観測・通信・指揮の側から国家継続性を下支えする。両者が結びつくことで、北の成長投資は単なる地域開発ではなく、平時と非常時を貫く分散型国家基盤へと転化する。</w:t>
      </w:r>
    </w:p>
    <w:p w14:paraId="0B540765" w14:textId="77777777" w:rsidR="00F54324" w:rsidRDefault="00000000">
      <w:pPr>
        <w:rPr>
          <w:lang w:eastAsia="ja-JP"/>
        </w:rPr>
      </w:pPr>
      <w:r>
        <w:rPr>
          <w:lang w:eastAsia="ja-JP"/>
        </w:rPr>
        <w:t>第三の矢の意義は、単なる施設統合ではない。日本海側の監視・観測・指揮・通信機能を一体として再設計し、首都圏や太平洋側に偏りがちな国家継続性の基盤に、もう一つの冗長レイヤーを持たせる点にある。</w:t>
      </w:r>
      <w:r>
        <w:rPr>
          <w:lang w:eastAsia="ja-JP"/>
        </w:rPr>
        <w:br/>
        <w:t>特に、災害時・有事・物流分断時には、個別最適された拠点の寄せ集めではなく、情報、通信、警戒、災害対処を横断してつなぐ統合拠点が必要となる。車力はその役割を担うことで、日本海側警戒の継続性を高めるだけでなく、三沢分散拠点、北の経済・物流中枢、そして国家全体の継続性を支える「北の統合運用ノード」として機能しうる。</w:t>
      </w:r>
      <w:r>
        <w:rPr>
          <w:lang w:eastAsia="ja-JP"/>
        </w:rPr>
        <w:br/>
      </w:r>
      <w:r>
        <w:rPr>
          <w:lang w:eastAsia="ja-JP"/>
        </w:rPr>
        <w:lastRenderedPageBreak/>
        <w:t>本構想における車力統合は、防衛強化を目的とした拡張ではなく、過度な一極集中を避け、指揮・通信・観測の冗長性を高めるための国家継続性設計である。</w:t>
      </w:r>
    </w:p>
    <w:p w14:paraId="31AC734D" w14:textId="77777777" w:rsidR="00F54324" w:rsidRDefault="00000000">
      <w:pPr>
        <w:jc w:val="center"/>
      </w:pPr>
      <w:r>
        <w:rPr>
          <w:noProof/>
        </w:rPr>
        <w:drawing>
          <wp:inline distT="0" distB="0" distL="0" distR="0" wp14:anchorId="17F7416E" wp14:editId="0395E7B7">
            <wp:extent cx="5394960" cy="39668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11_τ¼¼Σ║îτ¼¼Σ╕ëπü«τƒóΘÇúµÉ║σ¢│.png"/>
                    <pic:cNvPicPr/>
                  </pic:nvPicPr>
                  <pic:blipFill>
                    <a:blip r:embed="rId13"/>
                    <a:stretch>
                      <a:fillRect/>
                    </a:stretch>
                  </pic:blipFill>
                  <pic:spPr>
                    <a:xfrm>
                      <a:off x="0" y="0"/>
                      <a:ext cx="5394960" cy="3966882"/>
                    </a:xfrm>
                    <a:prstGeom prst="rect">
                      <a:avLst/>
                    </a:prstGeom>
                  </pic:spPr>
                </pic:pic>
              </a:graphicData>
            </a:graphic>
          </wp:inline>
        </w:drawing>
      </w:r>
    </w:p>
    <w:p w14:paraId="3FD020FF" w14:textId="77777777" w:rsidR="00F54324" w:rsidRDefault="00000000">
      <w:pPr>
        <w:jc w:val="center"/>
        <w:rPr>
          <w:lang w:eastAsia="ja-JP"/>
        </w:rPr>
      </w:pPr>
      <w:r>
        <w:rPr>
          <w:lang w:eastAsia="ja-JP"/>
        </w:rPr>
        <w:t>図8　第二・第三の矢 連携図</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2436"/>
        <w:gridCol w:w="2436"/>
        <w:gridCol w:w="2436"/>
        <w:gridCol w:w="2436"/>
      </w:tblGrid>
      <w:tr w:rsidR="00F54324" w14:paraId="2D901AD3" w14:textId="77777777">
        <w:trPr>
          <w:tblHeader/>
          <w:jc w:val="center"/>
        </w:trPr>
        <w:tc>
          <w:tcPr>
            <w:tcW w:w="2436" w:type="dxa"/>
            <w:shd w:val="clear" w:color="auto" w:fill="D9EAF7"/>
            <w:vAlign w:val="center"/>
          </w:tcPr>
          <w:p w14:paraId="2E8EB02D" w14:textId="77777777" w:rsidR="00F54324" w:rsidRDefault="00000000">
            <w:proofErr w:type="spellStart"/>
            <w:r>
              <w:t>項目</w:t>
            </w:r>
            <w:proofErr w:type="spellEnd"/>
          </w:p>
        </w:tc>
        <w:tc>
          <w:tcPr>
            <w:tcW w:w="2436" w:type="dxa"/>
            <w:shd w:val="clear" w:color="auto" w:fill="D9EAF7"/>
            <w:vAlign w:val="center"/>
          </w:tcPr>
          <w:p w14:paraId="33098A83" w14:textId="77777777" w:rsidR="00F54324" w:rsidRDefault="00000000">
            <w:r>
              <w:t>現状</w:t>
            </w:r>
          </w:p>
        </w:tc>
        <w:tc>
          <w:tcPr>
            <w:tcW w:w="2436" w:type="dxa"/>
            <w:shd w:val="clear" w:color="auto" w:fill="D9EAF7"/>
            <w:vAlign w:val="center"/>
          </w:tcPr>
          <w:p w14:paraId="1013871A" w14:textId="77777777" w:rsidR="00F54324" w:rsidRDefault="00000000">
            <w:r>
              <w:t>不足</w:t>
            </w:r>
          </w:p>
        </w:tc>
        <w:tc>
          <w:tcPr>
            <w:tcW w:w="2436" w:type="dxa"/>
            <w:shd w:val="clear" w:color="auto" w:fill="D9EAF7"/>
            <w:vAlign w:val="center"/>
          </w:tcPr>
          <w:p w14:paraId="5832BD2C" w14:textId="77777777" w:rsidR="00F54324" w:rsidRDefault="00000000">
            <w:r>
              <w:t>補完方向</w:t>
            </w:r>
          </w:p>
        </w:tc>
      </w:tr>
      <w:tr w:rsidR="00F54324" w14:paraId="2DE1BE59" w14:textId="77777777">
        <w:trPr>
          <w:jc w:val="center"/>
        </w:trPr>
        <w:tc>
          <w:tcPr>
            <w:tcW w:w="2436" w:type="dxa"/>
          </w:tcPr>
          <w:p w14:paraId="0C61E254" w14:textId="77777777" w:rsidR="00F54324" w:rsidRDefault="00000000">
            <w:r>
              <w:t>警戒・観測</w:t>
            </w:r>
          </w:p>
        </w:tc>
        <w:tc>
          <w:tcPr>
            <w:tcW w:w="2436" w:type="dxa"/>
          </w:tcPr>
          <w:p w14:paraId="2234638B" w14:textId="77777777" w:rsidR="00F54324" w:rsidRDefault="00000000">
            <w:r>
              <w:t>日本海側の重要拠点</w:t>
            </w:r>
          </w:p>
        </w:tc>
        <w:tc>
          <w:tcPr>
            <w:tcW w:w="2436" w:type="dxa"/>
          </w:tcPr>
          <w:p w14:paraId="4EDB99B8" w14:textId="77777777" w:rsidR="00F54324" w:rsidRDefault="00000000">
            <w:r>
              <w:t>統合運用層が薄い</w:t>
            </w:r>
          </w:p>
        </w:tc>
        <w:tc>
          <w:tcPr>
            <w:tcW w:w="2436" w:type="dxa"/>
          </w:tcPr>
          <w:p w14:paraId="59A519F5" w14:textId="77777777" w:rsidR="00F54324" w:rsidRDefault="00000000">
            <w:r>
              <w:t>観測・通信の統合</w:t>
            </w:r>
          </w:p>
        </w:tc>
      </w:tr>
      <w:tr w:rsidR="00F54324" w14:paraId="187C9462" w14:textId="77777777">
        <w:trPr>
          <w:jc w:val="center"/>
        </w:trPr>
        <w:tc>
          <w:tcPr>
            <w:tcW w:w="2436" w:type="dxa"/>
          </w:tcPr>
          <w:p w14:paraId="485016DA" w14:textId="77777777" w:rsidR="00F54324" w:rsidRDefault="00000000">
            <w:r>
              <w:t>指揮・通信</w:t>
            </w:r>
          </w:p>
        </w:tc>
        <w:tc>
          <w:tcPr>
            <w:tcW w:w="2436" w:type="dxa"/>
          </w:tcPr>
          <w:p w14:paraId="43897DB7" w14:textId="77777777" w:rsidR="00F54324" w:rsidRDefault="00000000">
            <w:r>
              <w:t>冗長化の基盤あり</w:t>
            </w:r>
          </w:p>
        </w:tc>
        <w:tc>
          <w:tcPr>
            <w:tcW w:w="2436" w:type="dxa"/>
          </w:tcPr>
          <w:p w14:paraId="0CA8AB21" w14:textId="77777777" w:rsidR="00F54324" w:rsidRDefault="00000000">
            <w:pPr>
              <w:rPr>
                <w:lang w:eastAsia="ja-JP"/>
              </w:rPr>
            </w:pPr>
            <w:r>
              <w:rPr>
                <w:lang w:eastAsia="ja-JP"/>
              </w:rPr>
              <w:t>国家継続性視点では補強余地</w:t>
            </w:r>
          </w:p>
        </w:tc>
        <w:tc>
          <w:tcPr>
            <w:tcW w:w="2436" w:type="dxa"/>
          </w:tcPr>
          <w:p w14:paraId="3DB9B5B4" w14:textId="77777777" w:rsidR="00F54324" w:rsidRDefault="00000000">
            <w:proofErr w:type="spellStart"/>
            <w:r>
              <w:t>統合指揮通信の強化</w:t>
            </w:r>
            <w:proofErr w:type="spellEnd"/>
          </w:p>
        </w:tc>
      </w:tr>
      <w:tr w:rsidR="00F54324" w14:paraId="3FB97354" w14:textId="77777777">
        <w:trPr>
          <w:jc w:val="center"/>
        </w:trPr>
        <w:tc>
          <w:tcPr>
            <w:tcW w:w="2436" w:type="dxa"/>
          </w:tcPr>
          <w:p w14:paraId="7E552CD8" w14:textId="77777777" w:rsidR="00F54324" w:rsidRDefault="00000000">
            <w:r>
              <w:t>災害対応</w:t>
            </w:r>
          </w:p>
        </w:tc>
        <w:tc>
          <w:tcPr>
            <w:tcW w:w="2436" w:type="dxa"/>
          </w:tcPr>
          <w:p w14:paraId="24A651FB" w14:textId="77777777" w:rsidR="00F54324" w:rsidRDefault="00000000">
            <w:pPr>
              <w:rPr>
                <w:lang w:eastAsia="ja-JP"/>
              </w:rPr>
            </w:pPr>
            <w:r>
              <w:rPr>
                <w:lang w:eastAsia="ja-JP"/>
              </w:rPr>
              <w:t>広域対応の潜在力あり</w:t>
            </w:r>
          </w:p>
        </w:tc>
        <w:tc>
          <w:tcPr>
            <w:tcW w:w="2436" w:type="dxa"/>
          </w:tcPr>
          <w:p w14:paraId="1BA3D93C" w14:textId="77777777" w:rsidR="00F54324" w:rsidRDefault="00000000">
            <w:pPr>
              <w:rPr>
                <w:lang w:eastAsia="ja-JP"/>
              </w:rPr>
            </w:pPr>
            <w:r>
              <w:rPr>
                <w:lang w:eastAsia="ja-JP"/>
              </w:rPr>
              <w:t>常設の統合拠点性が弱い</w:t>
            </w:r>
          </w:p>
        </w:tc>
        <w:tc>
          <w:tcPr>
            <w:tcW w:w="2436" w:type="dxa"/>
          </w:tcPr>
          <w:p w14:paraId="77D19E79" w14:textId="77777777" w:rsidR="00F54324" w:rsidRDefault="00000000">
            <w:proofErr w:type="spellStart"/>
            <w:r>
              <w:t>災害時統合拠点化</w:t>
            </w:r>
            <w:proofErr w:type="spellEnd"/>
          </w:p>
        </w:tc>
      </w:tr>
    </w:tbl>
    <w:p w14:paraId="488A4298" w14:textId="77777777" w:rsidR="00F54324" w:rsidRDefault="00000000">
      <w:pPr>
        <w:pStyle w:val="21"/>
        <w:rPr>
          <w:lang w:eastAsia="ja-JP"/>
        </w:rPr>
      </w:pPr>
      <w:r>
        <w:rPr>
          <w:lang w:eastAsia="ja-JP"/>
        </w:rPr>
        <w:t xml:space="preserve">4. </w:t>
      </w:r>
      <w:r>
        <w:rPr>
          <w:lang w:eastAsia="ja-JP"/>
        </w:rPr>
        <w:t>第四の矢：国際共同投資レイヤー</w:t>
      </w:r>
    </w:p>
    <w:p w14:paraId="7B299C54" w14:textId="77777777" w:rsidR="00F54324" w:rsidRDefault="00000000">
      <w:pPr>
        <w:rPr>
          <w:lang w:eastAsia="ja-JP"/>
        </w:rPr>
      </w:pPr>
      <w:r>
        <w:rPr>
          <w:lang w:eastAsia="ja-JP"/>
        </w:rPr>
        <w:t>NEASIFは、防衛・産業・電力を国際共同利害構造へ接続し、攻撃コストを経済的に引き上げることで、戦争しにくい構造を形成するための投資レイヤーである。防衛施設への直接出資は対象外とし、民間インフラ・エネルギー・デジタル基盤へ限定する。</w:t>
      </w:r>
    </w:p>
    <w:p w14:paraId="065F3DED" w14:textId="77777777" w:rsidR="00F54324" w:rsidRDefault="00000000">
      <w:pPr>
        <w:jc w:val="center"/>
      </w:pPr>
      <w:r>
        <w:rPr>
          <w:noProof/>
        </w:rPr>
        <w:lastRenderedPageBreak/>
        <w:drawing>
          <wp:inline distT="0" distB="0" distL="0" distR="0" wp14:anchorId="28E70749" wp14:editId="420F5103">
            <wp:extent cx="5394960" cy="412555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04_NEASIFµºïΘÇáσ¢│.png"/>
                    <pic:cNvPicPr/>
                  </pic:nvPicPr>
                  <pic:blipFill>
                    <a:blip r:embed="rId14"/>
                    <a:stretch>
                      <a:fillRect/>
                    </a:stretch>
                  </pic:blipFill>
                  <pic:spPr>
                    <a:xfrm>
                      <a:off x="0" y="0"/>
                      <a:ext cx="5394960" cy="4125558"/>
                    </a:xfrm>
                    <a:prstGeom prst="rect">
                      <a:avLst/>
                    </a:prstGeom>
                  </pic:spPr>
                </pic:pic>
              </a:graphicData>
            </a:graphic>
          </wp:inline>
        </w:drawing>
      </w:r>
    </w:p>
    <w:p w14:paraId="0ED766DF" w14:textId="77777777" w:rsidR="00F54324" w:rsidRDefault="00000000">
      <w:pPr>
        <w:jc w:val="center"/>
      </w:pPr>
      <w:r>
        <w:t>図9　NEASIF構造図</w:t>
      </w:r>
    </w:p>
    <w:p w14:paraId="78922E35" w14:textId="77777777" w:rsidR="00F54324" w:rsidRDefault="00000000" w:rsidP="00065ECE">
      <w:pPr>
        <w:spacing w:before="60" w:after="120"/>
        <w:jc w:val="right"/>
        <w:rPr>
          <w:lang w:eastAsia="ja-JP"/>
        </w:rPr>
      </w:pPr>
      <w:r>
        <w:rPr>
          <w:i/>
          <w:color w:val="666666"/>
          <w:sz w:val="19"/>
          <w:lang w:eastAsia="ja-JP"/>
        </w:rPr>
        <w:t>→ 参照：別紙C「財務・制度詳細資料」</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73"/>
        <w:gridCol w:w="4873"/>
      </w:tblGrid>
      <w:tr w:rsidR="00F54324" w14:paraId="36AED694" w14:textId="77777777">
        <w:trPr>
          <w:tblHeader/>
          <w:jc w:val="center"/>
        </w:trPr>
        <w:tc>
          <w:tcPr>
            <w:tcW w:w="4873" w:type="dxa"/>
            <w:shd w:val="clear" w:color="auto" w:fill="D9EAF7"/>
            <w:vAlign w:val="center"/>
          </w:tcPr>
          <w:p w14:paraId="1B03A61C" w14:textId="77777777" w:rsidR="00F54324" w:rsidRDefault="00000000">
            <w:proofErr w:type="spellStart"/>
            <w:r>
              <w:t>項目</w:t>
            </w:r>
            <w:proofErr w:type="spellEnd"/>
          </w:p>
        </w:tc>
        <w:tc>
          <w:tcPr>
            <w:tcW w:w="4873" w:type="dxa"/>
            <w:shd w:val="clear" w:color="auto" w:fill="D9EAF7"/>
            <w:vAlign w:val="center"/>
          </w:tcPr>
          <w:p w14:paraId="76084793" w14:textId="77777777" w:rsidR="00F54324" w:rsidRDefault="00000000">
            <w:r>
              <w:t>本文に残す要点</w:t>
            </w:r>
          </w:p>
        </w:tc>
      </w:tr>
      <w:tr w:rsidR="00F54324" w14:paraId="04AE0B87" w14:textId="77777777">
        <w:trPr>
          <w:jc w:val="center"/>
        </w:trPr>
        <w:tc>
          <w:tcPr>
            <w:tcW w:w="4873" w:type="dxa"/>
          </w:tcPr>
          <w:p w14:paraId="6C6AAF20" w14:textId="77777777" w:rsidR="00F54324" w:rsidRDefault="00000000">
            <w:r>
              <w:t>初期規模</w:t>
            </w:r>
          </w:p>
        </w:tc>
        <w:tc>
          <w:tcPr>
            <w:tcW w:w="4873" w:type="dxa"/>
          </w:tcPr>
          <w:p w14:paraId="53CD43C7" w14:textId="77777777" w:rsidR="00F54324" w:rsidRDefault="00000000">
            <w:r>
              <w:t>3〜5兆円</w:t>
            </w:r>
          </w:p>
        </w:tc>
      </w:tr>
      <w:tr w:rsidR="00F54324" w14:paraId="7E6EF1F8" w14:textId="77777777">
        <w:trPr>
          <w:jc w:val="center"/>
        </w:trPr>
        <w:tc>
          <w:tcPr>
            <w:tcW w:w="4873" w:type="dxa"/>
          </w:tcPr>
          <w:p w14:paraId="23FCF28A" w14:textId="77777777" w:rsidR="00F54324" w:rsidRDefault="00000000">
            <w:r>
              <w:t>最終規模</w:t>
            </w:r>
          </w:p>
        </w:tc>
        <w:tc>
          <w:tcPr>
            <w:tcW w:w="4873" w:type="dxa"/>
          </w:tcPr>
          <w:p w14:paraId="39F17053" w14:textId="77777777" w:rsidR="00F54324" w:rsidRDefault="00000000">
            <w:r>
              <w:t>15年で最大10兆円</w:t>
            </w:r>
          </w:p>
        </w:tc>
      </w:tr>
      <w:tr w:rsidR="00F54324" w14:paraId="151DE7BD" w14:textId="77777777">
        <w:trPr>
          <w:jc w:val="center"/>
        </w:trPr>
        <w:tc>
          <w:tcPr>
            <w:tcW w:w="4873" w:type="dxa"/>
          </w:tcPr>
          <w:p w14:paraId="0145C4CA" w14:textId="77777777" w:rsidR="00F54324" w:rsidRDefault="00000000">
            <w:r>
              <w:t>参加想定</w:t>
            </w:r>
          </w:p>
        </w:tc>
        <w:tc>
          <w:tcPr>
            <w:tcW w:w="4873" w:type="dxa"/>
          </w:tcPr>
          <w:p w14:paraId="6C9B1913" w14:textId="77777777" w:rsidR="00F54324" w:rsidRDefault="00000000">
            <w:pPr>
              <w:rPr>
                <w:lang w:eastAsia="ja-JP"/>
              </w:rPr>
            </w:pPr>
            <w:r>
              <w:rPr>
                <w:lang w:eastAsia="ja-JP"/>
              </w:rPr>
              <w:t>日本・英国・インド・必要に応じシンガポール</w:t>
            </w:r>
          </w:p>
        </w:tc>
      </w:tr>
      <w:tr w:rsidR="00F54324" w14:paraId="640E0C0D" w14:textId="77777777">
        <w:trPr>
          <w:jc w:val="center"/>
        </w:trPr>
        <w:tc>
          <w:tcPr>
            <w:tcW w:w="4873" w:type="dxa"/>
          </w:tcPr>
          <w:p w14:paraId="37500A03" w14:textId="77777777" w:rsidR="00F54324" w:rsidRDefault="00000000">
            <w:proofErr w:type="spellStart"/>
            <w:r>
              <w:t>歯止め</w:t>
            </w:r>
            <w:proofErr w:type="spellEnd"/>
          </w:p>
        </w:tc>
        <w:tc>
          <w:tcPr>
            <w:tcW w:w="4873" w:type="dxa"/>
          </w:tcPr>
          <w:p w14:paraId="149CF274" w14:textId="77777777" w:rsidR="00F54324" w:rsidRDefault="00000000">
            <w:pPr>
              <w:rPr>
                <w:lang w:eastAsia="ja-JP"/>
              </w:rPr>
            </w:pPr>
            <w:r>
              <w:rPr>
                <w:lang w:eastAsia="ja-JP"/>
              </w:rPr>
              <w:t>15年時限／5年レビュー／金利3%停止条項</w:t>
            </w:r>
          </w:p>
        </w:tc>
      </w:tr>
    </w:tbl>
    <w:p w14:paraId="09F14C9B" w14:textId="77777777" w:rsidR="00F54324" w:rsidRDefault="00000000">
      <w:pPr>
        <w:pStyle w:val="1"/>
        <w:rPr>
          <w:lang w:eastAsia="ja-JP"/>
        </w:rPr>
      </w:pPr>
      <w:r>
        <w:rPr>
          <w:lang w:eastAsia="ja-JP"/>
        </w:rPr>
        <w:t>第</w:t>
      </w:r>
      <w:r>
        <w:rPr>
          <w:lang w:eastAsia="ja-JP"/>
        </w:rPr>
        <w:t>3</w:t>
      </w:r>
      <w:r>
        <w:rPr>
          <w:lang w:eastAsia="ja-JP"/>
        </w:rPr>
        <w:t xml:space="preserve">部　</w:t>
      </w:r>
      <w:r>
        <w:rPr>
          <w:lang w:eastAsia="ja-JP"/>
        </w:rPr>
        <w:t>AI</w:t>
      </w:r>
      <w:r>
        <w:rPr>
          <w:lang w:eastAsia="ja-JP"/>
        </w:rPr>
        <w:t>社会インフラ編</w:t>
      </w:r>
    </w:p>
    <w:p w14:paraId="09148FC8" w14:textId="77777777" w:rsidR="00F54324" w:rsidRDefault="00000000">
      <w:pPr>
        <w:pStyle w:val="21"/>
        <w:rPr>
          <w:lang w:eastAsia="ja-JP"/>
        </w:rPr>
      </w:pPr>
      <w:r>
        <w:rPr>
          <w:lang w:eastAsia="ja-JP"/>
        </w:rPr>
        <w:t>5. AI</w:t>
      </w:r>
      <w:r>
        <w:rPr>
          <w:lang w:eastAsia="ja-JP"/>
        </w:rPr>
        <w:t>社会インフラ補論</w:t>
      </w:r>
    </w:p>
    <w:p w14:paraId="74DCAB58" w14:textId="77777777" w:rsidR="00F54324" w:rsidRDefault="00000000">
      <w:pPr>
        <w:rPr>
          <w:lang w:eastAsia="ja-JP"/>
        </w:rPr>
      </w:pPr>
      <w:r>
        <w:rPr>
          <w:lang w:eastAsia="ja-JP"/>
        </w:rPr>
        <w:t>AIは今後、電力・通信・物流と並ぶ社会インフラとなる可能性が高い。しかし、単一AI依存、過度なパーソナライズ、思考の外部化が進めば、人間の主体性低下、思考停止、思考分断、そしてAIの神格化を招く危険がある。</w:t>
      </w:r>
    </w:p>
    <w:p w14:paraId="50A637F1" w14:textId="77777777" w:rsidR="00F54324" w:rsidRDefault="00000000">
      <w:pPr>
        <w:rPr>
          <w:lang w:eastAsia="ja-JP"/>
        </w:rPr>
      </w:pPr>
      <w:r>
        <w:rPr>
          <w:lang w:eastAsia="ja-JP"/>
        </w:rPr>
        <w:lastRenderedPageBreak/>
        <w:t>本構想では、AI基盤を単なる産業設備としてではなく、「人間の思考を補助しつつ、主体性を奪わない社会インフラ」として位置づける。中心となるのは、多AIを比較利用できる円卓型の利用環境と、それを低コストで支える電力・冷却・計算基盤である。</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73"/>
        <w:gridCol w:w="4873"/>
      </w:tblGrid>
      <w:tr w:rsidR="00F54324" w14:paraId="1868727F" w14:textId="77777777">
        <w:trPr>
          <w:tblHeader/>
          <w:jc w:val="center"/>
        </w:trPr>
        <w:tc>
          <w:tcPr>
            <w:tcW w:w="4873" w:type="dxa"/>
            <w:shd w:val="clear" w:color="auto" w:fill="D9EAF7"/>
            <w:vAlign w:val="center"/>
          </w:tcPr>
          <w:p w14:paraId="13BD04D3" w14:textId="77777777" w:rsidR="00F54324" w:rsidRDefault="00000000">
            <w:proofErr w:type="spellStart"/>
            <w:r>
              <w:t>ユーザー保護原則</w:t>
            </w:r>
            <w:proofErr w:type="spellEnd"/>
          </w:p>
        </w:tc>
        <w:tc>
          <w:tcPr>
            <w:tcW w:w="4873" w:type="dxa"/>
            <w:shd w:val="clear" w:color="auto" w:fill="D9EAF7"/>
            <w:vAlign w:val="center"/>
          </w:tcPr>
          <w:p w14:paraId="556ED82F" w14:textId="77777777" w:rsidR="00F54324" w:rsidRDefault="00000000">
            <w:r>
              <w:t>方針</w:t>
            </w:r>
          </w:p>
        </w:tc>
      </w:tr>
      <w:tr w:rsidR="00F54324" w14:paraId="1B8616A5" w14:textId="77777777">
        <w:trPr>
          <w:jc w:val="center"/>
        </w:trPr>
        <w:tc>
          <w:tcPr>
            <w:tcW w:w="4873" w:type="dxa"/>
          </w:tcPr>
          <w:p w14:paraId="79FD296E" w14:textId="77777777" w:rsidR="00F54324" w:rsidRDefault="00000000">
            <w:pPr>
              <w:rPr>
                <w:lang w:eastAsia="ja-JP"/>
              </w:rPr>
            </w:pPr>
            <w:r>
              <w:rPr>
                <w:lang w:eastAsia="ja-JP"/>
              </w:rPr>
              <w:t>適正な支援パーソナライズ</w:t>
            </w:r>
          </w:p>
        </w:tc>
        <w:tc>
          <w:tcPr>
            <w:tcW w:w="4873" w:type="dxa"/>
          </w:tcPr>
          <w:p w14:paraId="002B631E" w14:textId="77777777" w:rsidR="00F54324" w:rsidRDefault="00000000">
            <w:r>
              <w:t>可</w:t>
            </w:r>
          </w:p>
        </w:tc>
      </w:tr>
      <w:tr w:rsidR="00F54324" w14:paraId="13E09EF5" w14:textId="77777777">
        <w:trPr>
          <w:jc w:val="center"/>
        </w:trPr>
        <w:tc>
          <w:tcPr>
            <w:tcW w:w="4873" w:type="dxa"/>
          </w:tcPr>
          <w:p w14:paraId="021F79E2" w14:textId="77777777" w:rsidR="00F54324" w:rsidRDefault="00000000">
            <w:r>
              <w:t>誘導・依存設計</w:t>
            </w:r>
          </w:p>
        </w:tc>
        <w:tc>
          <w:tcPr>
            <w:tcW w:w="4873" w:type="dxa"/>
          </w:tcPr>
          <w:p w14:paraId="0C938EF9" w14:textId="77777777" w:rsidR="00F54324" w:rsidRDefault="00000000">
            <w:r>
              <w:t>不可</w:t>
            </w:r>
          </w:p>
        </w:tc>
      </w:tr>
      <w:tr w:rsidR="00F54324" w14:paraId="53717E09" w14:textId="77777777">
        <w:trPr>
          <w:jc w:val="center"/>
        </w:trPr>
        <w:tc>
          <w:tcPr>
            <w:tcW w:w="4873" w:type="dxa"/>
          </w:tcPr>
          <w:p w14:paraId="2B3EE5D4" w14:textId="77777777" w:rsidR="00F54324" w:rsidRDefault="00000000">
            <w:r>
              <w:t>単一AI依存促進</w:t>
            </w:r>
          </w:p>
        </w:tc>
        <w:tc>
          <w:tcPr>
            <w:tcW w:w="4873" w:type="dxa"/>
          </w:tcPr>
          <w:p w14:paraId="2703AF86" w14:textId="77777777" w:rsidR="00F54324" w:rsidRDefault="00000000">
            <w:r>
              <w:t>不可</w:t>
            </w:r>
          </w:p>
        </w:tc>
      </w:tr>
      <w:tr w:rsidR="00F54324" w14:paraId="47D5A9D5" w14:textId="77777777">
        <w:trPr>
          <w:jc w:val="center"/>
        </w:trPr>
        <w:tc>
          <w:tcPr>
            <w:tcW w:w="4873" w:type="dxa"/>
          </w:tcPr>
          <w:p w14:paraId="43FCF301" w14:textId="77777777" w:rsidR="00F54324" w:rsidRDefault="00000000">
            <w:r>
              <w:t>多AI比較利用</w:t>
            </w:r>
          </w:p>
        </w:tc>
        <w:tc>
          <w:tcPr>
            <w:tcW w:w="4873" w:type="dxa"/>
          </w:tcPr>
          <w:p w14:paraId="5A033358" w14:textId="77777777" w:rsidR="00F54324" w:rsidRDefault="00000000">
            <w:r>
              <w:t>推奨</w:t>
            </w:r>
          </w:p>
        </w:tc>
      </w:tr>
    </w:tbl>
    <w:p w14:paraId="6AE13BAD" w14:textId="77777777" w:rsidR="00F54324" w:rsidRDefault="00000000">
      <w:pPr>
        <w:rPr>
          <w:lang w:eastAsia="ja-JP"/>
        </w:rPr>
      </w:pPr>
      <w:r>
        <w:rPr>
          <w:lang w:eastAsia="ja-JP"/>
        </w:rPr>
        <w:t>ASD・グレーゾーン・社会的弱者支援において、適正なパーソナライズは重要である。一方で、支援を名目としながら判断を肩代わりし、依存や認知的囲い込みを促す設計には明確な歯止めが必要である。</w:t>
      </w:r>
    </w:p>
    <w:p w14:paraId="5DBB39E2" w14:textId="77777777" w:rsidR="00F54324" w:rsidRDefault="00000000">
      <w:pPr>
        <w:jc w:val="center"/>
      </w:pPr>
      <w:r>
        <w:rPr>
          <w:noProof/>
        </w:rPr>
        <w:drawing>
          <wp:inline distT="0" distB="0" distL="0" distR="0" wp14:anchorId="60A3C398" wp14:editId="05938074">
            <wp:extent cx="5394960" cy="39668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03_σñÜAIσååσìôπâóπâçπâ½.png"/>
                    <pic:cNvPicPr/>
                  </pic:nvPicPr>
                  <pic:blipFill>
                    <a:blip r:embed="rId15"/>
                    <a:stretch>
                      <a:fillRect/>
                    </a:stretch>
                  </pic:blipFill>
                  <pic:spPr>
                    <a:xfrm>
                      <a:off x="0" y="0"/>
                      <a:ext cx="5394960" cy="3966882"/>
                    </a:xfrm>
                    <a:prstGeom prst="rect">
                      <a:avLst/>
                    </a:prstGeom>
                  </pic:spPr>
                </pic:pic>
              </a:graphicData>
            </a:graphic>
          </wp:inline>
        </w:drawing>
      </w:r>
    </w:p>
    <w:p w14:paraId="72A86B70" w14:textId="77777777" w:rsidR="00F54324" w:rsidRDefault="00000000">
      <w:pPr>
        <w:jc w:val="center"/>
      </w:pPr>
      <w:r>
        <w:t>図10　多AI円卓モデル</w:t>
      </w:r>
    </w:p>
    <w:p w14:paraId="422EADCF" w14:textId="77777777" w:rsidR="00F54324" w:rsidRDefault="00000000">
      <w:pPr>
        <w:jc w:val="center"/>
      </w:pPr>
      <w:r>
        <w:rPr>
          <w:noProof/>
        </w:rPr>
        <w:lastRenderedPageBreak/>
        <w:drawing>
          <wp:inline distT="0" distB="0" distL="0" distR="0" wp14:anchorId="06B39AA4" wp14:editId="33403768">
            <wp:extent cx="5394960" cy="42842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08_πâªπâ╝πé╢πâ╝Σ┐¥Φ¡╖σÄƒσëçΦí¿.png"/>
                    <pic:cNvPicPr/>
                  </pic:nvPicPr>
                  <pic:blipFill>
                    <a:blip r:embed="rId16"/>
                    <a:stretch>
                      <a:fillRect/>
                    </a:stretch>
                  </pic:blipFill>
                  <pic:spPr>
                    <a:xfrm>
                      <a:off x="0" y="0"/>
                      <a:ext cx="5394960" cy="4284233"/>
                    </a:xfrm>
                    <a:prstGeom prst="rect">
                      <a:avLst/>
                    </a:prstGeom>
                  </pic:spPr>
                </pic:pic>
              </a:graphicData>
            </a:graphic>
          </wp:inline>
        </w:drawing>
      </w:r>
    </w:p>
    <w:p w14:paraId="13CEBD70" w14:textId="77777777" w:rsidR="00F54324" w:rsidRDefault="00000000">
      <w:pPr>
        <w:jc w:val="center"/>
        <w:rPr>
          <w:lang w:eastAsia="ja-JP"/>
        </w:rPr>
      </w:pPr>
      <w:r>
        <w:rPr>
          <w:lang w:eastAsia="ja-JP"/>
        </w:rPr>
        <w:t>図11　ユーザー保護原則表</w:t>
      </w:r>
    </w:p>
    <w:p w14:paraId="7D461FFD" w14:textId="77777777" w:rsidR="00F54324" w:rsidRDefault="00000000" w:rsidP="00762633">
      <w:pPr>
        <w:spacing w:before="60" w:after="120"/>
        <w:jc w:val="right"/>
        <w:rPr>
          <w:lang w:eastAsia="ja-JP"/>
        </w:rPr>
      </w:pPr>
      <w:r>
        <w:rPr>
          <w:i/>
          <w:color w:val="666666"/>
          <w:sz w:val="19"/>
          <w:lang w:eastAsia="ja-JP"/>
        </w:rPr>
        <w:t>→ 参照：別紙B「エネルギー・AI基盤データ集」</w:t>
      </w:r>
    </w:p>
    <w:p w14:paraId="064636DB" w14:textId="77777777" w:rsidR="00F54324" w:rsidRDefault="00000000">
      <w:pPr>
        <w:pStyle w:val="21"/>
        <w:rPr>
          <w:lang w:eastAsia="ja-JP"/>
        </w:rPr>
      </w:pPr>
      <w:r>
        <w:rPr>
          <w:lang w:eastAsia="ja-JP"/>
        </w:rPr>
        <w:t xml:space="preserve">5-2. </w:t>
      </w:r>
      <w:r>
        <w:rPr>
          <w:lang w:eastAsia="ja-JP"/>
        </w:rPr>
        <w:t>人間主体性の具体指標</w:t>
      </w:r>
    </w:p>
    <w:p w14:paraId="4EB33278" w14:textId="77777777" w:rsidR="00F54324" w:rsidRDefault="00000000">
      <w:pPr>
        <w:rPr>
          <w:lang w:eastAsia="ja-JP"/>
        </w:rPr>
      </w:pPr>
      <w:r>
        <w:rPr>
          <w:lang w:eastAsia="ja-JP"/>
        </w:rPr>
        <w:t>AI社会インフラを設計するうえで最も重要なのは、AIの性能そのものではなく、人間の主体性がどこまで保持されるかである。本構想では、「人間主体性」を抽象理念にとどめず、社会実装可能な運用原則として整理する。</w:t>
      </w:r>
    </w:p>
    <w:p w14:paraId="4BA4074D" w14:textId="77777777" w:rsidR="00F54324" w:rsidRDefault="00000000">
      <w:pPr>
        <w:rPr>
          <w:lang w:eastAsia="ja-JP"/>
        </w:rPr>
      </w:pPr>
      <w:r>
        <w:rPr>
          <w:lang w:eastAsia="ja-JP"/>
        </w:rPr>
        <w:t>第一に、最終判断は常に人間が保持する。AIは意思決定の代行者ではなく、比較・整理・補助の役割にとどまるべきである。</w:t>
      </w:r>
    </w:p>
    <w:p w14:paraId="6EB8E96A" w14:textId="77777777" w:rsidR="00F54324" w:rsidRDefault="00000000">
      <w:pPr>
        <w:rPr>
          <w:lang w:eastAsia="ja-JP"/>
        </w:rPr>
      </w:pPr>
      <w:r>
        <w:rPr>
          <w:lang w:eastAsia="ja-JP"/>
        </w:rPr>
        <w:t>第二に、AIは単一の結論を強制するのではなく、比較可能な複数の視点・選択肢を提示する構造を持つべきである。単一AI依存を避け、多AI共存基盤を整える理由はここにある。</w:t>
      </w:r>
    </w:p>
    <w:p w14:paraId="46DF7C8C" w14:textId="77777777" w:rsidR="00F54324" w:rsidRDefault="00000000">
      <w:pPr>
        <w:rPr>
          <w:lang w:eastAsia="ja-JP"/>
        </w:rPr>
      </w:pPr>
      <w:r>
        <w:rPr>
          <w:lang w:eastAsia="ja-JP"/>
        </w:rPr>
        <w:t>第三に、ユーザーはAIの提案に至る理由・根拠・論点を辿れる必要がある。「便利だから従う」状態ではなく、「理解したうえで選ぶ」状態を維持することが重要である。</w:t>
      </w:r>
    </w:p>
    <w:p w14:paraId="06B9D636" w14:textId="77777777" w:rsidR="00F54324" w:rsidRDefault="00000000">
      <w:pPr>
        <w:rPr>
          <w:lang w:eastAsia="ja-JP"/>
        </w:rPr>
      </w:pPr>
      <w:r>
        <w:rPr>
          <w:lang w:eastAsia="ja-JP"/>
        </w:rPr>
        <w:t>第四に、パーソナライズは支援に限定されなければならない。ASD、グレーゾーン、社会的弱者にとって、認知特性や対人負荷に応じた調整は大きな支援となる。しかしそれが、依存誘導、判断肩代わり、心理的囲い込みに転化してはならない。</w:t>
      </w:r>
    </w:p>
    <w:p w14:paraId="225B96CF" w14:textId="77777777" w:rsidR="00F54324" w:rsidRDefault="00000000">
      <w:pPr>
        <w:rPr>
          <w:lang w:eastAsia="ja-JP"/>
        </w:rPr>
      </w:pPr>
      <w:r>
        <w:rPr>
          <w:lang w:eastAsia="ja-JP"/>
        </w:rPr>
        <w:lastRenderedPageBreak/>
        <w:t>第五に、未成年者や脆弱層に対しては、より強い保護原則を適用する。AIは、孤独や不安に寄り添う道具となりうる一方で、過度に人格化された場合には神格化や依存を生みやすい。ゆえに、保護強度は利用者属性に応じて高める必要がある。</w:t>
      </w:r>
    </w:p>
    <w:p w14:paraId="2EB537BA" w14:textId="77777777" w:rsidR="00F54324" w:rsidRDefault="00000000">
      <w:pPr>
        <w:rPr>
          <w:lang w:eastAsia="ja-JP"/>
        </w:rPr>
      </w:pPr>
      <w:r>
        <w:rPr>
          <w:lang w:eastAsia="ja-JP"/>
        </w:rPr>
        <w:t>本構想においてAIとは、人間に代わって考える装置ではない。人間が考え続けるための基盤を支える補助線である。</w:t>
      </w:r>
    </w:p>
    <w:p w14:paraId="79279AB5" w14:textId="77777777" w:rsidR="00F54324" w:rsidRDefault="00000000">
      <w:pPr>
        <w:pStyle w:val="21"/>
        <w:rPr>
          <w:lang w:eastAsia="ja-JP"/>
        </w:rPr>
      </w:pPr>
      <w:r>
        <w:rPr>
          <w:lang w:eastAsia="ja-JP"/>
        </w:rPr>
        <w:t xml:space="preserve">5-3. </w:t>
      </w:r>
      <w:r>
        <w:rPr>
          <w:lang w:eastAsia="ja-JP"/>
        </w:rPr>
        <w:t>地域社会との調和原則</w:t>
      </w:r>
    </w:p>
    <w:p w14:paraId="7F66FE2C" w14:textId="77777777" w:rsidR="00F54324" w:rsidRDefault="00000000">
      <w:pPr>
        <w:rPr>
          <w:lang w:eastAsia="ja-JP"/>
        </w:rPr>
      </w:pPr>
      <w:r>
        <w:rPr>
          <w:lang w:eastAsia="ja-JP"/>
        </w:rPr>
        <w:t>本構想は、巨大なインフラ投資や戦略拠点整備を含む以上、地域社会との調和を前提としなければ成立しない。国家的合理性だけをもって進めるのではなく、地域の生活、産業、景観、環境との共生を構造の中に組み込む必要がある。</w:t>
      </w:r>
    </w:p>
    <w:p w14:paraId="2D31D7E5" w14:textId="77777777" w:rsidR="00F54324" w:rsidRDefault="00000000">
      <w:pPr>
        <w:rPr>
          <w:lang w:eastAsia="ja-JP"/>
        </w:rPr>
      </w:pPr>
      <w:r>
        <w:rPr>
          <w:lang w:eastAsia="ja-JP"/>
        </w:rPr>
        <w:t>第一に、漁業・港湾利用との共存を前提とする。特にメガフロート型拠点や港湾再整備は、既存の漁場、航路、港湾利用との調整なくして進めることはできない。本構想は、既存産業の排除ではなく、地域の海洋利用全体を再設計する視点を持つ。</w:t>
      </w:r>
    </w:p>
    <w:p w14:paraId="6C34340C" w14:textId="77777777" w:rsidR="00F54324" w:rsidRDefault="00000000">
      <w:pPr>
        <w:rPr>
          <w:lang w:eastAsia="ja-JP"/>
        </w:rPr>
      </w:pPr>
      <w:r>
        <w:rPr>
          <w:lang w:eastAsia="ja-JP"/>
        </w:rPr>
        <w:t>第二に、景観・環境影響を初期段階から開示する。巨大インフラは、それ自体が地域住民の心理的距離を生みやすい。ゆえに、完成後の便益のみならず、建設過程・景観変化・環境影響・代替策までを透明に示すことが必要である。</w:t>
      </w:r>
    </w:p>
    <w:p w14:paraId="29BD919E" w14:textId="77777777" w:rsidR="00F54324" w:rsidRDefault="00000000">
      <w:pPr>
        <w:rPr>
          <w:lang w:eastAsia="ja-JP"/>
        </w:rPr>
      </w:pPr>
      <w:r>
        <w:rPr>
          <w:lang w:eastAsia="ja-JP"/>
        </w:rPr>
        <w:t>第三に、地元雇用と技能育成を設計に組み込む。本構想は外から資本と設備だけを入れるものではない。地域側に雇用、技能、教育、関連産業を根づかせることで、単なる通過型の国家事業ではなく、持続的地域基盤へ転換させなければならない。</w:t>
      </w:r>
    </w:p>
    <w:p w14:paraId="68882B8B" w14:textId="77777777" w:rsidR="00F54324" w:rsidRDefault="00000000">
      <w:pPr>
        <w:rPr>
          <w:lang w:eastAsia="ja-JP"/>
        </w:rPr>
      </w:pPr>
      <w:r>
        <w:rPr>
          <w:lang w:eastAsia="ja-JP"/>
        </w:rPr>
        <w:t>第四に、地域合意形成を工程表の中に明示する。設計、着工、運用の各段階で、自治体、住民、既存産業、関係団体との対話を制度化する必要がある。合意形成は後追いではなく、実装の一部である。</w:t>
      </w:r>
    </w:p>
    <w:p w14:paraId="4AFB68D5" w14:textId="77777777" w:rsidR="00F54324" w:rsidRDefault="00000000">
      <w:pPr>
        <w:rPr>
          <w:lang w:eastAsia="ja-JP"/>
        </w:rPr>
      </w:pPr>
      <w:r>
        <w:rPr>
          <w:lang w:eastAsia="ja-JP"/>
        </w:rPr>
        <w:t>第五に、本構想は地域を国家の都合に従属させるものではない。むしろ人口減少、豪雪、産業空洞化、周縁化といった課題を先に抱える地域だからこそ、次の時代に耐える国家モデルを先行実装する場となりうる。地域との共生なくして、この構想の正当性は成立しない。</w:t>
      </w:r>
    </w:p>
    <w:p w14:paraId="29F19E74" w14:textId="77777777" w:rsidR="00F54324" w:rsidRDefault="00000000">
      <w:pPr>
        <w:pStyle w:val="21"/>
        <w:rPr>
          <w:lang w:eastAsia="ja-JP"/>
        </w:rPr>
      </w:pPr>
      <w:r>
        <w:rPr>
          <w:lang w:eastAsia="ja-JP"/>
        </w:rPr>
        <w:t xml:space="preserve">5-4. </w:t>
      </w:r>
      <w:r>
        <w:rPr>
          <w:lang w:eastAsia="ja-JP"/>
        </w:rPr>
        <w:t>国際連携と共同利害設計</w:t>
      </w:r>
    </w:p>
    <w:p w14:paraId="35589146" w14:textId="77777777" w:rsidR="00F54324" w:rsidRDefault="00000000">
      <w:pPr>
        <w:rPr>
          <w:lang w:eastAsia="ja-JP"/>
        </w:rPr>
      </w:pPr>
      <w:r>
        <w:rPr>
          <w:lang w:eastAsia="ja-JP"/>
        </w:rPr>
        <w:t>本構想は、国内投資のみで完結する閉じた国家計画ではない。むしろ、防災、物流、エネルギー、AI計算基盤、半導体関連産業を国際共同利害構造の中に位置づけることで、攻撃コストを経済的に引き上げ、安定性を高めることを目指す。</w:t>
      </w:r>
    </w:p>
    <w:p w14:paraId="21C9E8B3" w14:textId="77777777" w:rsidR="00F54324" w:rsidRDefault="00000000">
      <w:pPr>
        <w:rPr>
          <w:lang w:eastAsia="ja-JP"/>
        </w:rPr>
      </w:pPr>
      <w:r>
        <w:rPr>
          <w:lang w:eastAsia="ja-JP"/>
        </w:rPr>
        <w:lastRenderedPageBreak/>
        <w:t>NEASIFの意義は、単なる資金調達手段にはない。参加国・参加資本にとって、本構想が中長期的な安定収益と戦略的価値の両方を持つことが重要である。</w:t>
      </w:r>
    </w:p>
    <w:p w14:paraId="59F0CC54" w14:textId="77777777" w:rsidR="00F54324" w:rsidRDefault="00000000">
      <w:pPr>
        <w:rPr>
          <w:lang w:eastAsia="ja-JP"/>
        </w:rPr>
      </w:pPr>
      <w:r>
        <w:rPr>
          <w:lang w:eastAsia="ja-JP"/>
        </w:rPr>
        <w:t>英国にとっては、金融・ファンド設計・安定インフラ投資の対象となりうる。インドにとっては、供給網分散、半導体後工程、インド太平洋戦略との接続点となりうる。シンガポールにとっては、港湾・物流・国際運用のノウハウと接続する余地がある。日本にとっては、国家継続性、経済安全保障、地方再設計の中核である。</w:t>
      </w:r>
    </w:p>
    <w:p w14:paraId="05DBA04A" w14:textId="77777777" w:rsidR="00F54324" w:rsidRDefault="00000000">
      <w:pPr>
        <w:rPr>
          <w:lang w:eastAsia="ja-JP"/>
        </w:rPr>
      </w:pPr>
      <w:r>
        <w:rPr>
          <w:lang w:eastAsia="ja-JP"/>
        </w:rPr>
        <w:t>ただし、本構想は国際化と引き換えに国家主権を曖昧にするものではない。防衛装備・軍事運用領域への直接出資は明確に遮断し、重要事項には日本側が拒否権を保持し、法的区分とガバナンスによって安全保障と投資資産を切り分ける。</w:t>
      </w:r>
    </w:p>
    <w:p w14:paraId="55A0EE54" w14:textId="77777777" w:rsidR="00F54324" w:rsidRDefault="00000000">
      <w:pPr>
        <w:rPr>
          <w:lang w:eastAsia="ja-JP"/>
        </w:rPr>
      </w:pPr>
      <w:r>
        <w:rPr>
          <w:lang w:eastAsia="ja-JP"/>
        </w:rPr>
        <w:t>この構想における国際連携とは、善意や理念だけに依存するものではない。共同所有、共同収益、共同リスクを通じて、「壊さない方が得である」という経済合理性を組み込む設計である。それが本構想における共同利害構造の本質である。</w:t>
      </w:r>
    </w:p>
    <w:p w14:paraId="19E3F63E" w14:textId="77777777" w:rsidR="00F54324" w:rsidRDefault="00000000">
      <w:pPr>
        <w:pStyle w:val="21"/>
        <w:rPr>
          <w:lang w:eastAsia="ja-JP"/>
        </w:rPr>
      </w:pPr>
      <w:r>
        <w:rPr>
          <w:lang w:eastAsia="ja-JP"/>
        </w:rPr>
        <w:t>5-5. NEASIF</w:t>
      </w:r>
      <w:r>
        <w:rPr>
          <w:lang w:eastAsia="ja-JP"/>
        </w:rPr>
        <w:t>投資対象の選定基準</w:t>
      </w:r>
    </w:p>
    <w:p w14:paraId="596A6750" w14:textId="77777777" w:rsidR="00F54324" w:rsidRDefault="00000000">
      <w:pPr>
        <w:rPr>
          <w:lang w:eastAsia="ja-JP"/>
        </w:rPr>
      </w:pPr>
      <w:r>
        <w:rPr>
          <w:lang w:eastAsia="ja-JP"/>
        </w:rPr>
        <w:t>NEASIFは、あらゆる事業を包括的に支援するための基金ではない。本構想においては、国家継続性、経済安全保障、地域基盤強化に資する民間インフラに対象を限定する。</w:t>
      </w:r>
    </w:p>
    <w:p w14:paraId="620A4A24" w14:textId="77777777" w:rsidR="00F54324" w:rsidRDefault="00000000">
      <w:pPr>
        <w:rPr>
          <w:lang w:eastAsia="ja-JP"/>
        </w:rPr>
      </w:pPr>
      <w:r>
        <w:rPr>
          <w:lang w:eastAsia="ja-JP"/>
        </w:rPr>
        <w:t>投資対象の選定にあたっては、以下の基準を満たすことを原則とする。</w:t>
      </w:r>
    </w:p>
    <w:p w14:paraId="3FCB3E5D" w14:textId="77777777" w:rsidR="00F54324" w:rsidRDefault="00000000">
      <w:pPr>
        <w:rPr>
          <w:lang w:eastAsia="ja-JP"/>
        </w:rPr>
      </w:pPr>
      <w:r>
        <w:rPr>
          <w:lang w:eastAsia="ja-JP"/>
        </w:rPr>
        <w:t>第一に、災害時・有事・物流分断時においても、国家または地域の継続性を高める冗長化効果を持つこと。</w:t>
      </w:r>
    </w:p>
    <w:p w14:paraId="73245637" w14:textId="77777777" w:rsidR="00F54324" w:rsidRDefault="00000000">
      <w:pPr>
        <w:rPr>
          <w:lang w:eastAsia="ja-JP"/>
        </w:rPr>
      </w:pPr>
      <w:r>
        <w:rPr>
          <w:lang w:eastAsia="ja-JP"/>
        </w:rPr>
        <w:t>第二に、平時においても民間利用価値があり、長期的な経済波及または安定収益が見込めること。</w:t>
      </w:r>
    </w:p>
    <w:p w14:paraId="540C736A" w14:textId="77777777" w:rsidR="00F54324" w:rsidRDefault="00000000">
      <w:pPr>
        <w:rPr>
          <w:lang w:eastAsia="ja-JP"/>
        </w:rPr>
      </w:pPr>
      <w:r>
        <w:rPr>
          <w:lang w:eastAsia="ja-JP"/>
        </w:rPr>
        <w:t>第三に、エネルギー、港湾、空港、データセンター、半導体後工程、計算基盤、物流機能など、民生インフラとして説明可能であること。</w:t>
      </w:r>
    </w:p>
    <w:p w14:paraId="7CB49806" w14:textId="77777777" w:rsidR="00F54324" w:rsidRDefault="00000000">
      <w:pPr>
        <w:rPr>
          <w:lang w:eastAsia="ja-JP"/>
        </w:rPr>
      </w:pPr>
      <w:r>
        <w:rPr>
          <w:lang w:eastAsia="ja-JP"/>
        </w:rPr>
        <w:t>第四に、防衛装備の取得や軍事運用そのものではなく、民間基盤として法的・会計的に明確に区分できること。</w:t>
      </w:r>
    </w:p>
    <w:p w14:paraId="37391B50" w14:textId="77777777" w:rsidR="00F54324" w:rsidRDefault="00000000">
      <w:pPr>
        <w:rPr>
          <w:lang w:eastAsia="ja-JP"/>
        </w:rPr>
      </w:pPr>
      <w:r>
        <w:rPr>
          <w:lang w:eastAsia="ja-JP"/>
        </w:rPr>
        <w:t>第五に、地域合意形成、環境配慮、既存産業との調整を前提としていること。</w:t>
      </w:r>
    </w:p>
    <w:p w14:paraId="24D98CBA" w14:textId="77777777" w:rsidR="00F54324" w:rsidRDefault="00000000">
      <w:pPr>
        <w:rPr>
          <w:lang w:eastAsia="ja-JP"/>
        </w:rPr>
      </w:pPr>
      <w:r>
        <w:rPr>
          <w:lang w:eastAsia="ja-JP"/>
        </w:rPr>
        <w:t>反対に、軍事装備そのもの、公益性と収益性の両立が不明確な案件、地域社会との調整を欠いた案件は対象外とする。</w:t>
      </w:r>
    </w:p>
    <w:p w14:paraId="48F88C0B" w14:textId="77777777" w:rsidR="00F54324" w:rsidRDefault="00000000">
      <w:pPr>
        <w:rPr>
          <w:lang w:eastAsia="ja-JP"/>
        </w:rPr>
      </w:pPr>
      <w:r>
        <w:rPr>
          <w:lang w:eastAsia="ja-JP"/>
        </w:rPr>
        <w:t>NEASIFの目的は、国家主導の恣意的投資ではなく、国家継続性と民間合理性を両立させる安定資本の設計にある。</w:t>
      </w:r>
    </w:p>
    <w:p w14:paraId="02215EFC" w14:textId="77777777" w:rsidR="00F54324" w:rsidRDefault="00000000">
      <w:pPr>
        <w:pStyle w:val="21"/>
        <w:rPr>
          <w:lang w:eastAsia="ja-JP"/>
        </w:rPr>
      </w:pPr>
      <w:r>
        <w:rPr>
          <w:lang w:eastAsia="ja-JP"/>
        </w:rPr>
        <w:lastRenderedPageBreak/>
        <w:t>5-6. AI</w:t>
      </w:r>
      <w:r>
        <w:rPr>
          <w:lang w:eastAsia="ja-JP"/>
        </w:rPr>
        <w:t>判断肩代わり時の責任原則</w:t>
      </w:r>
    </w:p>
    <w:p w14:paraId="5545ACFB" w14:textId="77777777" w:rsidR="00F54324" w:rsidRDefault="00000000">
      <w:pPr>
        <w:rPr>
          <w:lang w:eastAsia="ja-JP"/>
        </w:rPr>
      </w:pPr>
      <w:r>
        <w:rPr>
          <w:lang w:eastAsia="ja-JP"/>
        </w:rPr>
        <w:t>AI社会インフラの整備においては、AIがどこまで補助し、どこから先を人間が担うのかを明確にしなければならない。特に、AIが事実上の判断肩代わりを行った場合、責任の所在が曖昧なままでは社会実装は持続しない。</w:t>
      </w:r>
    </w:p>
    <w:p w14:paraId="6D0A054E" w14:textId="77777777" w:rsidR="00F54324" w:rsidRDefault="00000000">
      <w:pPr>
        <w:rPr>
          <w:lang w:eastAsia="ja-JP"/>
        </w:rPr>
      </w:pPr>
      <w:r>
        <w:rPr>
          <w:lang w:eastAsia="ja-JP"/>
        </w:rPr>
        <w:t>本構想では、第一に、最終決定責任は原則として人間または運用主体が保持する。AIは比較・整理・補助の役割を担うが、法的・社会的責任まで肩代わりする主体とはみなさない。</w:t>
      </w:r>
    </w:p>
    <w:p w14:paraId="347A764D" w14:textId="77777777" w:rsidR="00F54324" w:rsidRDefault="00000000">
      <w:pPr>
        <w:rPr>
          <w:lang w:eastAsia="ja-JP"/>
        </w:rPr>
      </w:pPr>
      <w:r>
        <w:rPr>
          <w:lang w:eastAsia="ja-JP"/>
        </w:rPr>
        <w:t>第二に、AI提供者および運営主体は、設計上の誘導、過度な依存促進、判断の不透明化に関して責任を負う。特に、高度にパーソナライズされたAIが脆弱層や未成年者に対して事実上の権威として機能する場合には、通常以上の説明責任と安全配慮義務が必要である。</w:t>
      </w:r>
    </w:p>
    <w:p w14:paraId="59193047" w14:textId="77777777" w:rsidR="00F54324" w:rsidRDefault="00000000">
      <w:pPr>
        <w:rPr>
          <w:lang w:eastAsia="ja-JP"/>
        </w:rPr>
      </w:pPr>
      <w:r>
        <w:rPr>
          <w:lang w:eastAsia="ja-JP"/>
        </w:rPr>
        <w:t>第三に、高リスク領域においては、AI単独で判断が完結する構造を避けなければならない。医療、福祉、教育、公共判断、安全保障関連などでは、人間による確認、異議申立て、再検討可能性を残すことを原則とする。</w:t>
      </w:r>
    </w:p>
    <w:p w14:paraId="365DF87F" w14:textId="77777777" w:rsidR="00F54324" w:rsidRDefault="00000000">
      <w:pPr>
        <w:rPr>
          <w:lang w:eastAsia="ja-JP"/>
        </w:rPr>
      </w:pPr>
      <w:r>
        <w:rPr>
          <w:lang w:eastAsia="ja-JP"/>
        </w:rPr>
        <w:t>第四に、判断過程の記録可能性と追跡可能性を確保する。少なくとも、どのAIが、どのような入力条件で、どのような論点整理を行ったかを後から検証できる構造が望ましい。</w:t>
      </w:r>
    </w:p>
    <w:p w14:paraId="4E12FEC5" w14:textId="77777777" w:rsidR="00F54324" w:rsidRDefault="00000000">
      <w:pPr>
        <w:rPr>
          <w:lang w:eastAsia="ja-JP"/>
        </w:rPr>
      </w:pPr>
      <w:r>
        <w:rPr>
          <w:lang w:eastAsia="ja-JP"/>
        </w:rPr>
        <w:t>AIは責任主体そのものではない。責任を曖昧にしたままAIへ委ねる構造こそが危険である。本構想では、AIの活用を拡大するほど、人間側と運用主体側の責任原則を明確化する必要があると考える。</w:t>
      </w:r>
    </w:p>
    <w:p w14:paraId="49C4B537" w14:textId="77777777" w:rsidR="00F54324" w:rsidRDefault="00000000">
      <w:pPr>
        <w:pStyle w:val="1"/>
        <w:rPr>
          <w:lang w:eastAsia="ja-JP"/>
        </w:rPr>
      </w:pPr>
      <w:r>
        <w:rPr>
          <w:lang w:eastAsia="ja-JP"/>
        </w:rPr>
        <w:t>第</w:t>
      </w:r>
      <w:r>
        <w:rPr>
          <w:lang w:eastAsia="ja-JP"/>
        </w:rPr>
        <w:t>4</w:t>
      </w:r>
      <w:r>
        <w:rPr>
          <w:lang w:eastAsia="ja-JP"/>
        </w:rPr>
        <w:t>部　工程・経済・制度</w:t>
      </w:r>
    </w:p>
    <w:p w14:paraId="1A68DD2B" w14:textId="77777777" w:rsidR="00F54324" w:rsidRDefault="00000000">
      <w:pPr>
        <w:pStyle w:val="21"/>
      </w:pPr>
      <w:r>
        <w:t xml:space="preserve">6. </w:t>
      </w:r>
      <w:proofErr w:type="spellStart"/>
      <w:r>
        <w:t>工程表と判定軸</w:t>
      </w:r>
      <w:proofErr w:type="spellEnd"/>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3249"/>
        <w:gridCol w:w="3249"/>
        <w:gridCol w:w="3249"/>
      </w:tblGrid>
      <w:tr w:rsidR="00F54324" w14:paraId="12DA9B8C" w14:textId="77777777">
        <w:trPr>
          <w:tblHeader/>
          <w:jc w:val="center"/>
        </w:trPr>
        <w:tc>
          <w:tcPr>
            <w:tcW w:w="3249" w:type="dxa"/>
            <w:shd w:val="clear" w:color="auto" w:fill="D9EAF7"/>
            <w:vAlign w:val="center"/>
          </w:tcPr>
          <w:p w14:paraId="43F97A76" w14:textId="77777777" w:rsidR="00F54324" w:rsidRDefault="00000000">
            <w:r>
              <w:t>期間</w:t>
            </w:r>
          </w:p>
        </w:tc>
        <w:tc>
          <w:tcPr>
            <w:tcW w:w="3249" w:type="dxa"/>
            <w:shd w:val="clear" w:color="auto" w:fill="D9EAF7"/>
            <w:vAlign w:val="center"/>
          </w:tcPr>
          <w:p w14:paraId="54DBD16A" w14:textId="77777777" w:rsidR="00F54324" w:rsidRDefault="00000000">
            <w:r>
              <w:t>主要内容</w:t>
            </w:r>
          </w:p>
        </w:tc>
        <w:tc>
          <w:tcPr>
            <w:tcW w:w="3249" w:type="dxa"/>
            <w:shd w:val="clear" w:color="auto" w:fill="D9EAF7"/>
            <w:vAlign w:val="center"/>
          </w:tcPr>
          <w:p w14:paraId="0FFDB377" w14:textId="77777777" w:rsidR="00F54324" w:rsidRDefault="00000000">
            <w:r>
              <w:t>判定軸</w:t>
            </w:r>
          </w:p>
        </w:tc>
      </w:tr>
      <w:tr w:rsidR="00F54324" w14:paraId="54FA60C5" w14:textId="77777777">
        <w:trPr>
          <w:jc w:val="center"/>
        </w:trPr>
        <w:tc>
          <w:tcPr>
            <w:tcW w:w="3249" w:type="dxa"/>
          </w:tcPr>
          <w:p w14:paraId="678E0FFD" w14:textId="77777777" w:rsidR="00F54324" w:rsidRDefault="00000000">
            <w:r>
              <w:t>2026–2030</w:t>
            </w:r>
          </w:p>
        </w:tc>
        <w:tc>
          <w:tcPr>
            <w:tcW w:w="3249" w:type="dxa"/>
          </w:tcPr>
          <w:p w14:paraId="50085DB6" w14:textId="77777777" w:rsidR="00F54324" w:rsidRDefault="00000000">
            <w:pPr>
              <w:rPr>
                <w:lang w:eastAsia="ja-JP"/>
              </w:rPr>
            </w:pPr>
            <w:r>
              <w:rPr>
                <w:lang w:eastAsia="ja-JP"/>
              </w:rPr>
              <w:t>設計・法整備・用地取得・国際ファンド枠組み構築</w:t>
            </w:r>
          </w:p>
        </w:tc>
        <w:tc>
          <w:tcPr>
            <w:tcW w:w="3249" w:type="dxa"/>
          </w:tcPr>
          <w:p w14:paraId="6BFFF22C" w14:textId="77777777" w:rsidR="00F54324" w:rsidRDefault="00000000">
            <w:proofErr w:type="spellStart"/>
            <w:r>
              <w:t>基盤設計の完了</w:t>
            </w:r>
            <w:proofErr w:type="spellEnd"/>
          </w:p>
        </w:tc>
      </w:tr>
      <w:tr w:rsidR="00F54324" w14:paraId="204F0198" w14:textId="77777777">
        <w:trPr>
          <w:jc w:val="center"/>
        </w:trPr>
        <w:tc>
          <w:tcPr>
            <w:tcW w:w="3249" w:type="dxa"/>
          </w:tcPr>
          <w:p w14:paraId="245F36DE" w14:textId="77777777" w:rsidR="00F54324" w:rsidRDefault="00000000">
            <w:r>
              <w:t>2030–2035</w:t>
            </w:r>
          </w:p>
        </w:tc>
        <w:tc>
          <w:tcPr>
            <w:tcW w:w="3249" w:type="dxa"/>
          </w:tcPr>
          <w:p w14:paraId="73C89932" w14:textId="77777777" w:rsidR="00F54324" w:rsidRDefault="00000000">
            <w:pPr>
              <w:rPr>
                <w:lang w:eastAsia="ja-JP"/>
              </w:rPr>
            </w:pPr>
            <w:r>
              <w:rPr>
                <w:lang w:eastAsia="ja-JP"/>
              </w:rPr>
              <w:t>港湾・電力先行整備／三沢拡張着工／DC・後工程誘致</w:t>
            </w:r>
          </w:p>
        </w:tc>
        <w:tc>
          <w:tcPr>
            <w:tcW w:w="3249" w:type="dxa"/>
          </w:tcPr>
          <w:p w14:paraId="71A9F5FE" w14:textId="77777777" w:rsidR="00F54324" w:rsidRDefault="00000000">
            <w:proofErr w:type="spellStart"/>
            <w:r>
              <w:t>先行投資の稼働開始</w:t>
            </w:r>
            <w:proofErr w:type="spellEnd"/>
          </w:p>
        </w:tc>
      </w:tr>
      <w:tr w:rsidR="00F54324" w14:paraId="33439F47" w14:textId="77777777">
        <w:trPr>
          <w:jc w:val="center"/>
        </w:trPr>
        <w:tc>
          <w:tcPr>
            <w:tcW w:w="3249" w:type="dxa"/>
          </w:tcPr>
          <w:p w14:paraId="11FCE27D" w14:textId="77777777" w:rsidR="00F54324" w:rsidRDefault="00000000">
            <w:r>
              <w:t>2035–2040</w:t>
            </w:r>
          </w:p>
        </w:tc>
        <w:tc>
          <w:tcPr>
            <w:tcW w:w="3249" w:type="dxa"/>
          </w:tcPr>
          <w:p w14:paraId="2D8986B7" w14:textId="77777777" w:rsidR="00F54324" w:rsidRDefault="00000000">
            <w:r>
              <w:t>産業稼働／車力統合完了／国際投資本格化</w:t>
            </w:r>
          </w:p>
        </w:tc>
        <w:tc>
          <w:tcPr>
            <w:tcW w:w="3249" w:type="dxa"/>
          </w:tcPr>
          <w:p w14:paraId="1001E1E4" w14:textId="77777777" w:rsidR="00F54324" w:rsidRDefault="00000000">
            <w:r>
              <w:t>全体統合の成立</w:t>
            </w:r>
          </w:p>
        </w:tc>
      </w:tr>
    </w:tbl>
    <w:p w14:paraId="44422A27" w14:textId="77777777" w:rsidR="00F54324" w:rsidRDefault="00000000">
      <w:pPr>
        <w:rPr>
          <w:lang w:eastAsia="ja-JP"/>
        </w:rPr>
      </w:pPr>
      <w:r>
        <w:rPr>
          <w:lang w:eastAsia="ja-JP"/>
        </w:rPr>
        <w:t>代表KPIは、国際投資参加国3か国以上、主要民間投資5,000億円以上、電力供給安定化、北東北雇用増加率+5%以上とする。</w:t>
      </w:r>
    </w:p>
    <w:p w14:paraId="3957FF52" w14:textId="77777777" w:rsidR="00F54324" w:rsidRDefault="00000000">
      <w:pPr>
        <w:jc w:val="center"/>
      </w:pPr>
      <w:r>
        <w:rPr>
          <w:noProof/>
        </w:rPr>
        <w:lastRenderedPageBreak/>
        <w:drawing>
          <wp:inline distT="0" distB="0" distL="0" distR="0" wp14:anchorId="419A629A" wp14:editId="5AC59545">
            <wp:extent cx="5394960" cy="34908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06_σ╖Ñτ¿ïΦí¿πé┐πéñπâáπâ⌐πéñπâ│.png"/>
                    <pic:cNvPicPr/>
                  </pic:nvPicPr>
                  <pic:blipFill>
                    <a:blip r:embed="rId17"/>
                    <a:stretch>
                      <a:fillRect/>
                    </a:stretch>
                  </pic:blipFill>
                  <pic:spPr>
                    <a:xfrm>
                      <a:off x="0" y="0"/>
                      <a:ext cx="5394960" cy="3490856"/>
                    </a:xfrm>
                    <a:prstGeom prst="rect">
                      <a:avLst/>
                    </a:prstGeom>
                  </pic:spPr>
                </pic:pic>
              </a:graphicData>
            </a:graphic>
          </wp:inline>
        </w:drawing>
      </w:r>
    </w:p>
    <w:p w14:paraId="7FEACEDE" w14:textId="77777777" w:rsidR="00F54324" w:rsidRDefault="00000000">
      <w:pPr>
        <w:jc w:val="center"/>
        <w:rPr>
          <w:lang w:eastAsia="ja-JP"/>
        </w:rPr>
      </w:pPr>
      <w:r>
        <w:rPr>
          <w:lang w:eastAsia="ja-JP"/>
        </w:rPr>
        <w:t>図12　工程表タイムライン</w:t>
      </w:r>
    </w:p>
    <w:p w14:paraId="6E0F11EF" w14:textId="77777777" w:rsidR="00F54324" w:rsidRDefault="00000000">
      <w:pPr>
        <w:pStyle w:val="21"/>
      </w:pPr>
      <w:r>
        <w:t xml:space="preserve">7. </w:t>
      </w:r>
      <w:proofErr w:type="spellStart"/>
      <w:r>
        <w:t>経済・財務編</w:t>
      </w:r>
      <w:proofErr w:type="spellEnd"/>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73"/>
        <w:gridCol w:w="4873"/>
      </w:tblGrid>
      <w:tr w:rsidR="00F54324" w14:paraId="1AAAA99A" w14:textId="77777777">
        <w:trPr>
          <w:tblHeader/>
          <w:jc w:val="center"/>
        </w:trPr>
        <w:tc>
          <w:tcPr>
            <w:tcW w:w="4873" w:type="dxa"/>
            <w:shd w:val="clear" w:color="auto" w:fill="D9EAF7"/>
            <w:vAlign w:val="center"/>
          </w:tcPr>
          <w:p w14:paraId="532FDE42" w14:textId="77777777" w:rsidR="00F54324" w:rsidRDefault="00000000">
            <w:r>
              <w:t>指標</w:t>
            </w:r>
          </w:p>
        </w:tc>
        <w:tc>
          <w:tcPr>
            <w:tcW w:w="4873" w:type="dxa"/>
            <w:shd w:val="clear" w:color="auto" w:fill="D9EAF7"/>
            <w:vAlign w:val="center"/>
          </w:tcPr>
          <w:p w14:paraId="6E6E5B1F" w14:textId="77777777" w:rsidR="00F54324" w:rsidRDefault="00000000">
            <w:r>
              <w:t>代表値</w:t>
            </w:r>
          </w:p>
        </w:tc>
      </w:tr>
      <w:tr w:rsidR="00F54324" w14:paraId="08E8204F" w14:textId="77777777">
        <w:trPr>
          <w:jc w:val="center"/>
        </w:trPr>
        <w:tc>
          <w:tcPr>
            <w:tcW w:w="4873" w:type="dxa"/>
          </w:tcPr>
          <w:p w14:paraId="20393DCF" w14:textId="77777777" w:rsidR="00F54324" w:rsidRDefault="00000000">
            <w:r>
              <w:t>総事業費</w:t>
            </w:r>
          </w:p>
        </w:tc>
        <w:tc>
          <w:tcPr>
            <w:tcW w:w="4873" w:type="dxa"/>
          </w:tcPr>
          <w:p w14:paraId="4F04DEE7" w14:textId="77777777" w:rsidR="00F54324" w:rsidRDefault="00000000">
            <w:r>
              <w:t>約15兆円</w:t>
            </w:r>
          </w:p>
        </w:tc>
      </w:tr>
      <w:tr w:rsidR="00F54324" w14:paraId="68FE0748" w14:textId="77777777">
        <w:trPr>
          <w:jc w:val="center"/>
        </w:trPr>
        <w:tc>
          <w:tcPr>
            <w:tcW w:w="4873" w:type="dxa"/>
          </w:tcPr>
          <w:p w14:paraId="4C2C28C0" w14:textId="77777777" w:rsidR="00F54324" w:rsidRDefault="00000000">
            <w:r>
              <w:t>投資期間</w:t>
            </w:r>
          </w:p>
        </w:tc>
        <w:tc>
          <w:tcPr>
            <w:tcW w:w="4873" w:type="dxa"/>
          </w:tcPr>
          <w:p w14:paraId="5524347A" w14:textId="77777777" w:rsidR="00F54324" w:rsidRDefault="00000000">
            <w:r>
              <w:t>15年</w:t>
            </w:r>
          </w:p>
        </w:tc>
      </w:tr>
      <w:tr w:rsidR="00F54324" w14:paraId="09371572" w14:textId="77777777">
        <w:trPr>
          <w:jc w:val="center"/>
        </w:trPr>
        <w:tc>
          <w:tcPr>
            <w:tcW w:w="4873" w:type="dxa"/>
          </w:tcPr>
          <w:p w14:paraId="746A42A0" w14:textId="77777777" w:rsidR="00F54324" w:rsidRDefault="00000000">
            <w:r>
              <w:t>年間投資規模</w:t>
            </w:r>
          </w:p>
        </w:tc>
        <w:tc>
          <w:tcPr>
            <w:tcW w:w="4873" w:type="dxa"/>
          </w:tcPr>
          <w:p w14:paraId="2B8ADC6D" w14:textId="77777777" w:rsidR="00F54324" w:rsidRDefault="00000000">
            <w:r>
              <w:t>約1兆円</w:t>
            </w:r>
          </w:p>
        </w:tc>
      </w:tr>
      <w:tr w:rsidR="00F54324" w14:paraId="67273490" w14:textId="77777777">
        <w:trPr>
          <w:jc w:val="center"/>
        </w:trPr>
        <w:tc>
          <w:tcPr>
            <w:tcW w:w="4873" w:type="dxa"/>
          </w:tcPr>
          <w:p w14:paraId="213E73B5" w14:textId="77777777" w:rsidR="00F54324" w:rsidRDefault="00000000">
            <w:r>
              <w:t>年間GDP押上げ</w:t>
            </w:r>
          </w:p>
        </w:tc>
        <w:tc>
          <w:tcPr>
            <w:tcW w:w="4873" w:type="dxa"/>
          </w:tcPr>
          <w:p w14:paraId="73E9B08E" w14:textId="77777777" w:rsidR="00F54324" w:rsidRDefault="00000000">
            <w:r>
              <w:t>+0.2〜0.4%</w:t>
            </w:r>
          </w:p>
        </w:tc>
      </w:tr>
      <w:tr w:rsidR="00F54324" w14:paraId="6333A9D3" w14:textId="77777777">
        <w:trPr>
          <w:jc w:val="center"/>
        </w:trPr>
        <w:tc>
          <w:tcPr>
            <w:tcW w:w="4873" w:type="dxa"/>
          </w:tcPr>
          <w:p w14:paraId="6618779D" w14:textId="77777777" w:rsidR="00F54324" w:rsidRDefault="00000000">
            <w:r>
              <w:t>年間税収増</w:t>
            </w:r>
          </w:p>
        </w:tc>
        <w:tc>
          <w:tcPr>
            <w:tcW w:w="4873" w:type="dxa"/>
          </w:tcPr>
          <w:p w14:paraId="53B1B32D" w14:textId="77777777" w:rsidR="00F54324" w:rsidRDefault="00000000">
            <w:r>
              <w:t>0.3〜0.7兆円</w:t>
            </w:r>
          </w:p>
        </w:tc>
      </w:tr>
      <w:tr w:rsidR="00F54324" w14:paraId="63715454" w14:textId="77777777">
        <w:trPr>
          <w:jc w:val="center"/>
        </w:trPr>
        <w:tc>
          <w:tcPr>
            <w:tcW w:w="4873" w:type="dxa"/>
          </w:tcPr>
          <w:p w14:paraId="5006F3BF" w14:textId="77777777" w:rsidR="00F54324" w:rsidRDefault="00000000">
            <w:r>
              <w:t>財政評価</w:t>
            </w:r>
          </w:p>
        </w:tc>
        <w:tc>
          <w:tcPr>
            <w:tcW w:w="4873" w:type="dxa"/>
          </w:tcPr>
          <w:p w14:paraId="35C1B609" w14:textId="77777777" w:rsidR="00F54324" w:rsidRDefault="00000000">
            <w:pPr>
              <w:rPr>
                <w:lang w:eastAsia="ja-JP"/>
              </w:rPr>
            </w:pPr>
            <w:r>
              <w:rPr>
                <w:lang w:eastAsia="ja-JP"/>
              </w:rPr>
              <w:t>財政回収は長期、経済回収は中期</w:t>
            </w:r>
          </w:p>
        </w:tc>
      </w:tr>
    </w:tbl>
    <w:p w14:paraId="0DBD0B49" w14:textId="77777777" w:rsidR="00F54324" w:rsidRDefault="00000000">
      <w:pPr>
        <w:rPr>
          <w:lang w:eastAsia="ja-JP"/>
        </w:rPr>
      </w:pPr>
      <w:r>
        <w:rPr>
          <w:lang w:eastAsia="ja-JP"/>
        </w:rPr>
        <w:t>本構想は短期黒字化型の案件ではない。経済規模拡大、国土強靱化、国家継続性確保、国際投資誘致を同時に達成する戦略型国家投資として位置づける。数式、感度分析、税収弾性値、OPEX、IMF式は別紙へ集約する。</w:t>
      </w:r>
    </w:p>
    <w:p w14:paraId="2866B129" w14:textId="77777777" w:rsidR="00F54324" w:rsidRDefault="00000000">
      <w:pPr>
        <w:jc w:val="center"/>
      </w:pPr>
      <w:r>
        <w:rPr>
          <w:noProof/>
        </w:rPr>
        <w:lastRenderedPageBreak/>
        <w:drawing>
          <wp:inline distT="0" distB="0" distL="0" distR="0" wp14:anchorId="68FC6469" wp14:editId="35A50303">
            <wp:extent cx="5394960" cy="412555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_09_Φ▓íσïÖµºïΘÇáσ¢│.png"/>
                    <pic:cNvPicPr/>
                  </pic:nvPicPr>
                  <pic:blipFill>
                    <a:blip r:embed="rId18"/>
                    <a:stretch>
                      <a:fillRect/>
                    </a:stretch>
                  </pic:blipFill>
                  <pic:spPr>
                    <a:xfrm>
                      <a:off x="0" y="0"/>
                      <a:ext cx="5394960" cy="4125558"/>
                    </a:xfrm>
                    <a:prstGeom prst="rect">
                      <a:avLst/>
                    </a:prstGeom>
                  </pic:spPr>
                </pic:pic>
              </a:graphicData>
            </a:graphic>
          </wp:inline>
        </w:drawing>
      </w:r>
    </w:p>
    <w:p w14:paraId="06A729DF" w14:textId="77777777" w:rsidR="00F54324" w:rsidRDefault="00000000">
      <w:pPr>
        <w:jc w:val="center"/>
        <w:rPr>
          <w:lang w:eastAsia="ja-JP"/>
        </w:rPr>
      </w:pPr>
      <w:r>
        <w:rPr>
          <w:lang w:eastAsia="ja-JP"/>
        </w:rPr>
        <w:t>図13　財務構造図</w:t>
      </w:r>
    </w:p>
    <w:p w14:paraId="55FDF76C" w14:textId="77777777" w:rsidR="00F54324" w:rsidRDefault="00000000" w:rsidP="00065ECE">
      <w:pPr>
        <w:spacing w:before="60" w:after="120"/>
        <w:jc w:val="right"/>
        <w:rPr>
          <w:lang w:eastAsia="ja-JP"/>
        </w:rPr>
      </w:pPr>
      <w:r>
        <w:rPr>
          <w:i/>
          <w:color w:val="666666"/>
          <w:sz w:val="19"/>
          <w:lang w:eastAsia="ja-JP"/>
        </w:rPr>
        <w:t>→ 参照：別紙C「財務・制度詳細資料」</w:t>
      </w:r>
    </w:p>
    <w:p w14:paraId="0B09D8E8" w14:textId="77777777" w:rsidR="00F54324" w:rsidRDefault="00000000">
      <w:pPr>
        <w:pStyle w:val="21"/>
        <w:rPr>
          <w:lang w:eastAsia="ja-JP"/>
        </w:rPr>
      </w:pPr>
      <w:r>
        <w:rPr>
          <w:lang w:eastAsia="ja-JP"/>
        </w:rPr>
        <w:t xml:space="preserve">8. </w:t>
      </w:r>
      <w:r>
        <w:rPr>
          <w:lang w:eastAsia="ja-JP"/>
        </w:rPr>
        <w:t>制度設計編</w:t>
      </w:r>
    </w:p>
    <w:p w14:paraId="13D2FAA0" w14:textId="77777777" w:rsidR="00F54324" w:rsidRDefault="00000000">
      <w:pPr>
        <w:rPr>
          <w:lang w:eastAsia="ja-JP"/>
        </w:rPr>
      </w:pPr>
      <w:r>
        <w:rPr>
          <w:lang w:eastAsia="ja-JP"/>
        </w:rPr>
        <w:t>NEASIFは、外貨準備の安全性を損なわない範囲で、実現収益や満期償還分を国内成長投資へ再循環させる制度設計とする。政府はLPとして関与し、個別案件の投資判断は専門GPへ委ね、国会統制・会計検査院監査・5年レビュー・15年時限・金利3%停止条項で歯止めをかける。</w:t>
      </w:r>
    </w:p>
    <w:p w14:paraId="1FE58466" w14:textId="77777777" w:rsidR="00F54324" w:rsidRDefault="00000000">
      <w:pPr>
        <w:spacing w:before="60" w:after="120"/>
        <w:rPr>
          <w:lang w:eastAsia="ja-JP"/>
        </w:rPr>
      </w:pPr>
      <w:r>
        <w:rPr>
          <w:i/>
          <w:color w:val="666666"/>
          <w:sz w:val="19"/>
          <w:lang w:eastAsia="ja-JP"/>
        </w:rPr>
        <w:t>→ 参照：別紙C「財務・制度詳細資料」</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73"/>
        <w:gridCol w:w="4873"/>
      </w:tblGrid>
      <w:tr w:rsidR="00F54324" w14:paraId="785B1695" w14:textId="77777777">
        <w:trPr>
          <w:tblHeader/>
          <w:jc w:val="center"/>
        </w:trPr>
        <w:tc>
          <w:tcPr>
            <w:tcW w:w="4873" w:type="dxa"/>
            <w:shd w:val="clear" w:color="auto" w:fill="D9EAF7"/>
            <w:vAlign w:val="center"/>
          </w:tcPr>
          <w:p w14:paraId="43150057" w14:textId="77777777" w:rsidR="00F54324" w:rsidRDefault="00000000">
            <w:proofErr w:type="spellStart"/>
            <w:r>
              <w:t>制度要素</w:t>
            </w:r>
            <w:proofErr w:type="spellEnd"/>
          </w:p>
        </w:tc>
        <w:tc>
          <w:tcPr>
            <w:tcW w:w="4873" w:type="dxa"/>
            <w:shd w:val="clear" w:color="auto" w:fill="D9EAF7"/>
            <w:vAlign w:val="center"/>
          </w:tcPr>
          <w:p w14:paraId="17BAE7CB" w14:textId="77777777" w:rsidR="00F54324" w:rsidRDefault="00000000">
            <w:r>
              <w:t>本文に残す要点</w:t>
            </w:r>
          </w:p>
        </w:tc>
      </w:tr>
      <w:tr w:rsidR="00F54324" w14:paraId="091E880B" w14:textId="77777777">
        <w:trPr>
          <w:jc w:val="center"/>
        </w:trPr>
        <w:tc>
          <w:tcPr>
            <w:tcW w:w="4873" w:type="dxa"/>
          </w:tcPr>
          <w:p w14:paraId="597E490A" w14:textId="77777777" w:rsidR="00F54324" w:rsidRDefault="00000000">
            <w:r>
              <w:t>時限</w:t>
            </w:r>
          </w:p>
        </w:tc>
        <w:tc>
          <w:tcPr>
            <w:tcW w:w="4873" w:type="dxa"/>
          </w:tcPr>
          <w:p w14:paraId="5CC4E8A9" w14:textId="77777777" w:rsidR="00F54324" w:rsidRDefault="00000000">
            <w:r>
              <w:t>15年</w:t>
            </w:r>
          </w:p>
        </w:tc>
      </w:tr>
      <w:tr w:rsidR="00F54324" w14:paraId="7BA308AA" w14:textId="77777777">
        <w:trPr>
          <w:jc w:val="center"/>
        </w:trPr>
        <w:tc>
          <w:tcPr>
            <w:tcW w:w="4873" w:type="dxa"/>
          </w:tcPr>
          <w:p w14:paraId="7355D001" w14:textId="77777777" w:rsidR="00F54324" w:rsidRDefault="00000000">
            <w:r>
              <w:t>レビュー</w:t>
            </w:r>
          </w:p>
        </w:tc>
        <w:tc>
          <w:tcPr>
            <w:tcW w:w="4873" w:type="dxa"/>
          </w:tcPr>
          <w:p w14:paraId="3E19B78A" w14:textId="77777777" w:rsidR="00F54324" w:rsidRDefault="00000000">
            <w:r>
              <w:t>5年目に中間評価</w:t>
            </w:r>
          </w:p>
        </w:tc>
      </w:tr>
      <w:tr w:rsidR="00F54324" w14:paraId="3497619E" w14:textId="77777777">
        <w:trPr>
          <w:jc w:val="center"/>
        </w:trPr>
        <w:tc>
          <w:tcPr>
            <w:tcW w:w="4873" w:type="dxa"/>
          </w:tcPr>
          <w:p w14:paraId="3890524D" w14:textId="77777777" w:rsidR="00F54324" w:rsidRDefault="00000000">
            <w:r>
              <w:t>停止条項</w:t>
            </w:r>
          </w:p>
        </w:tc>
        <w:tc>
          <w:tcPr>
            <w:tcW w:w="4873" w:type="dxa"/>
          </w:tcPr>
          <w:p w14:paraId="13B22739" w14:textId="77777777" w:rsidR="00F54324" w:rsidRDefault="00000000">
            <w:pPr>
              <w:rPr>
                <w:lang w:eastAsia="ja-JP"/>
              </w:rPr>
            </w:pPr>
            <w:r>
              <w:rPr>
                <w:lang w:eastAsia="ja-JP"/>
              </w:rPr>
              <w:t>長期金利3%超で新規拠出停止</w:t>
            </w:r>
          </w:p>
        </w:tc>
      </w:tr>
      <w:tr w:rsidR="00F54324" w14:paraId="3FF05D0A" w14:textId="77777777">
        <w:trPr>
          <w:jc w:val="center"/>
        </w:trPr>
        <w:tc>
          <w:tcPr>
            <w:tcW w:w="4873" w:type="dxa"/>
          </w:tcPr>
          <w:p w14:paraId="2E88AECF" w14:textId="77777777" w:rsidR="00F54324" w:rsidRDefault="00000000">
            <w:proofErr w:type="spellStart"/>
            <w:r>
              <w:t>財源</w:t>
            </w:r>
            <w:proofErr w:type="spellEnd"/>
          </w:p>
        </w:tc>
        <w:tc>
          <w:tcPr>
            <w:tcW w:w="4873" w:type="dxa"/>
          </w:tcPr>
          <w:p w14:paraId="4CA70ED2" w14:textId="77777777" w:rsidR="00F54324" w:rsidRDefault="00000000">
            <w:pPr>
              <w:rPr>
                <w:lang w:eastAsia="ja-JP"/>
              </w:rPr>
            </w:pPr>
            <w:r>
              <w:rPr>
                <w:lang w:eastAsia="ja-JP"/>
              </w:rPr>
              <w:t>実現収益・満期償還分の再循環</w:t>
            </w:r>
          </w:p>
        </w:tc>
      </w:tr>
      <w:tr w:rsidR="00F54324" w14:paraId="5E4DAE3C" w14:textId="77777777">
        <w:trPr>
          <w:jc w:val="center"/>
        </w:trPr>
        <w:tc>
          <w:tcPr>
            <w:tcW w:w="4873" w:type="dxa"/>
          </w:tcPr>
          <w:p w14:paraId="032E1ECE" w14:textId="77777777" w:rsidR="00F54324" w:rsidRDefault="00000000">
            <w:proofErr w:type="spellStart"/>
            <w:r>
              <w:t>対象外</w:t>
            </w:r>
            <w:proofErr w:type="spellEnd"/>
          </w:p>
        </w:tc>
        <w:tc>
          <w:tcPr>
            <w:tcW w:w="4873" w:type="dxa"/>
          </w:tcPr>
          <w:p w14:paraId="1B6073F8" w14:textId="77777777" w:rsidR="00F54324" w:rsidRDefault="00000000">
            <w:pPr>
              <w:rPr>
                <w:lang w:eastAsia="ja-JP"/>
              </w:rPr>
            </w:pPr>
            <w:r>
              <w:rPr>
                <w:lang w:eastAsia="ja-JP"/>
              </w:rPr>
              <w:t>防衛装備の取得は対象外</w:t>
            </w:r>
          </w:p>
        </w:tc>
      </w:tr>
    </w:tbl>
    <w:p w14:paraId="65222D07" w14:textId="77777777" w:rsidR="00F54324" w:rsidRDefault="00000000">
      <w:pPr>
        <w:pStyle w:val="21"/>
        <w:rPr>
          <w:lang w:eastAsia="ja-JP"/>
        </w:rPr>
      </w:pPr>
      <w:r>
        <w:rPr>
          <w:lang w:eastAsia="ja-JP"/>
        </w:rPr>
        <w:lastRenderedPageBreak/>
        <w:t>結語</w:t>
      </w:r>
    </w:p>
    <w:p w14:paraId="6B2661B2" w14:textId="77777777" w:rsidR="00F54324" w:rsidRDefault="00000000">
      <w:pPr>
        <w:rPr>
          <w:lang w:eastAsia="ja-JP"/>
        </w:rPr>
      </w:pPr>
      <w:r>
        <w:rPr>
          <w:lang w:eastAsia="ja-JP"/>
        </w:rPr>
        <w:t>日本は何かが起きてから動く国である。しかし首都直下地震や南海トラフ巨大地震が起きた後では遅い。今はまだ「設計する時間」がある。</w:t>
      </w:r>
    </w:p>
    <w:p w14:paraId="3A7EE90B" w14:textId="77777777" w:rsidR="00F54324" w:rsidRDefault="00000000">
      <w:pPr>
        <w:rPr>
          <w:lang w:eastAsia="ja-JP"/>
        </w:rPr>
      </w:pPr>
      <w:r>
        <w:rPr>
          <w:lang w:eastAsia="ja-JP"/>
        </w:rPr>
        <w:t>本構想は、地方の利益誘導ではなく、国家全体の生存確率を最大化するための再設計である。青森はその起点となりうる。本文版では代表数字と政策骨格を残し、詳細な数式、法案全文、比較データ、費目内訳は別紙へ回す。</w:t>
      </w:r>
    </w:p>
    <w:p w14:paraId="31BF1CBE" w14:textId="77777777" w:rsidR="00F54324" w:rsidRDefault="00000000">
      <w:pPr>
        <w:rPr>
          <w:lang w:eastAsia="ja-JP"/>
        </w:rPr>
      </w:pPr>
      <w:r>
        <w:rPr>
          <w:lang w:eastAsia="ja-JP"/>
        </w:rPr>
        <w:br w:type="page"/>
      </w:r>
    </w:p>
    <w:p w14:paraId="0BBE8562" w14:textId="77777777" w:rsidR="00F54324" w:rsidRDefault="00000000">
      <w:r>
        <w:lastRenderedPageBreak/>
        <w:t>Executive Summary</w:t>
      </w:r>
      <w:r>
        <w:br/>
        <w:t>Northern Japan Strategic Redesign Initiative</w:t>
      </w:r>
      <w:r>
        <w:br/>
        <w:t>A Structural Resilience Strategy for Japan</w:t>
      </w:r>
    </w:p>
    <w:p w14:paraId="270FCAB5" w14:textId="77777777" w:rsidR="00F54324" w:rsidRDefault="00000000">
      <w:r>
        <w:t>Author: SHOSHIN Niioka</w:t>
      </w:r>
    </w:p>
    <w:p w14:paraId="23E04DE2" w14:textId="77777777" w:rsidR="00F54324" w:rsidRDefault="00000000">
      <w:r>
        <w:t>Japan’s greatest vulnerability is not a single shortage, but structural concentration. Political authority, financial capital, logistics, industrial capacity, and critical strategic functions remain heavily concentrated in and around the Tokyo metropolitan area. In an era of escalating seismic risk, supply-chain instability, demographic decline, and accelerating AI dependence, this concentration is becoming a national continuity risk.</w:t>
      </w:r>
    </w:p>
    <w:p w14:paraId="6F189F8E" w14:textId="77777777" w:rsidR="00F54324" w:rsidRDefault="00000000">
      <w:r>
        <w:t>This proposal is not a military expansion plan. It is a survivability design for a nation that must not stop.</w:t>
      </w:r>
    </w:p>
    <w:p w14:paraId="1EADFD3B" w14:textId="77777777" w:rsidR="00F54324" w:rsidRDefault="00000000">
      <w:r>
        <w:t>The initiative is built on four strategic layers.</w:t>
      </w:r>
    </w:p>
    <w:p w14:paraId="13D8709E" w14:textId="77777777" w:rsidR="00F54324" w:rsidRDefault="00000000">
      <w:r>
        <w:t>First, the Northern Economic, Logistics, and Energy Layer. This layer proposes a resilient northern cluster centered on Aomori, combining an offshore mega-float industrial and port platform, cargo and logistics reinforcement, and a Hakkoda-based energy system using geothermal, renewable integration, storage, and cooling advantages. Its purpose is to reduce overdependence on the Tokyo-centered system and create a distributed industrial base that remains functional under disruption.</w:t>
      </w:r>
    </w:p>
    <w:p w14:paraId="71650901" w14:textId="77777777" w:rsidR="00F54324" w:rsidRDefault="00000000">
      <w:r>
        <w:t>Second, the Misawa Strategic Dispersion Node. This layer is designed as a redundancy function for the concentration risks associated with the Kanto region. Its role is not symbolic expansion, but operational continuity: aviation dispersion, logistics backup, and resilience support for critical alliance functions if the Tokyo area is disrupted.</w:t>
      </w:r>
    </w:p>
    <w:p w14:paraId="4C1760A0" w14:textId="77777777" w:rsidR="00F54324" w:rsidRDefault="00000000">
      <w:r>
        <w:t>Third, the Shariki Integrated Monitoring and Command Layer. This is not a simple base expansion proposal. Its significance lies in building a redundant command, communications, monitoring, and disaster-coordination architecture on the Sea of Japan side. Shariki is positioned as a northern integrated operational node that supports national continuity by linking surveillance, communications, warning, and crisis response into a distributed layer.</w:t>
      </w:r>
    </w:p>
    <w:p w14:paraId="37E2BE4E" w14:textId="77777777" w:rsidR="00F54324" w:rsidRDefault="00000000">
      <w:r>
        <w:lastRenderedPageBreak/>
        <w:t>Fourth, the International Strategic Infrastructure Fund (NEASIF). The proposal does not treat infrastructure as a purely domestic budgetary burden. Instead, it seeks to transform key assets—energy systems, logistics platforms, data centers, semiconductor-related infrastructure, and industrial zones—into internationally co-invested stability assets. The objective is to raise the economic cost of destabilization and create a shared-interest structure that strengthens deterrence and continuity without directly internationalizing defense assets.</w:t>
      </w:r>
    </w:p>
    <w:p w14:paraId="10AB8A8F" w14:textId="77777777" w:rsidR="00F54324" w:rsidRDefault="00000000">
      <w:r>
        <w:t>Aomori is not chosen by accident. It is one of the few regions in Japan where geography, logistics, disaster resilience, energy potential, and strategic redundancy overlap at high density. It faces the Tsugaru Strait, connects the Pacific and Sea of Japan sides, contains the relatively stable Mutsu Bay, holds cold-climate and geothermal advantages around Hakkoda, and already sits near existing strategic nodes such as Misawa, Shariki, and Ominato. In this sense, Aomori is not simply a local candidate; it is a plausible starting point for a distributed national resilience model in an era of depopulation.</w:t>
      </w:r>
    </w:p>
    <w:p w14:paraId="1FEF49B9" w14:textId="77777777" w:rsidR="00F54324" w:rsidRDefault="00000000">
      <w:r>
        <w:t>This proposal also includes an AI social infrastructure perspective. AI is becoming a foundational layer of modern society, but excessive dependence on a single model, over-personalization, and the outsourcing of human thought may create cognitive passivity, fragmentation, and the deification of AI. For this reason, the proposal supports a multi-AI coexistence framework, lower-cost computing infrastructure, and governance principles that preserve human agency while allowing appropriate support for ASD, grey-zone users, and socially vulnerable groups.</w:t>
      </w:r>
    </w:p>
    <w:p w14:paraId="39EBF368" w14:textId="77777777" w:rsidR="00F54324" w:rsidRDefault="00000000">
      <w:r>
        <w:t>Key representative values are as follows:</w:t>
      </w:r>
      <w:r>
        <w:br/>
        <w:t>- Total public investment scale: approximately ¥15 trillion</w:t>
      </w:r>
      <w:r>
        <w:br/>
        <w:t>- Investment period: 15 years</w:t>
      </w:r>
      <w:r>
        <w:br/>
        <w:t>- Average annual scale: approximately ¥1 trillion</w:t>
      </w:r>
      <w:r>
        <w:br/>
        <w:t>- Estimated annual GDP uplift: +0.2% to +0.4%</w:t>
      </w:r>
      <w:r>
        <w:br/>
        <w:t>- Estimated annual tax revenue increase: approximately ¥0.3 to ¥0.7 trillion</w:t>
      </w:r>
      <w:r>
        <w:br/>
        <w:t>- NEASIF initial scale: approximately ¥3 to ¥5 trillion</w:t>
      </w:r>
      <w:r>
        <w:br/>
        <w:t>- Automatic suspension clause if long-term JGB yields exceed 3%</w:t>
      </w:r>
    </w:p>
    <w:p w14:paraId="2BE5B546" w14:textId="77777777" w:rsidR="00F54324" w:rsidRDefault="00000000">
      <w:r>
        <w:lastRenderedPageBreak/>
        <w:t>This is not a short-term profit-maximization project. It is a structural investment in national continuity, economic security, distributed resilience, and long-term strategic stability.</w:t>
      </w:r>
    </w:p>
    <w:p w14:paraId="266805C3" w14:textId="77777777" w:rsidR="00F54324" w:rsidRDefault="00000000">
      <w:r>
        <w:t>Japan still has time to design before crisis becomes irreversible. The question is not whether disruption will come, but whether resilience will have been built beforehand.</w:t>
      </w:r>
    </w:p>
    <w:p w14:paraId="7FB1E0AE" w14:textId="77777777" w:rsidR="00DD0A55" w:rsidRDefault="00000000">
      <w:r>
        <w:br w:type="page"/>
      </w:r>
    </w:p>
    <w:p w14:paraId="6605610E" w14:textId="77777777" w:rsidR="00DD0A55" w:rsidRDefault="00000000">
      <w:pPr>
        <w:pStyle w:val="21"/>
        <w:spacing w:after="120"/>
      </w:pPr>
      <w:r>
        <w:lastRenderedPageBreak/>
        <w:t>Executive Summary | Key Figures</w:t>
      </w:r>
    </w:p>
    <w:tbl>
      <w:tblPr>
        <w:tblStyle w:val="afe"/>
        <w:tblW w:w="0" w:type="auto"/>
        <w:jc w:val="center"/>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ook w:val="04A0" w:firstRow="1" w:lastRow="0" w:firstColumn="1" w:lastColumn="0" w:noHBand="0" w:noVBand="1"/>
      </w:tblPr>
      <w:tblGrid>
        <w:gridCol w:w="4873"/>
        <w:gridCol w:w="4873"/>
      </w:tblGrid>
      <w:tr w:rsidR="00F54324" w14:paraId="63555EEC" w14:textId="77777777">
        <w:trPr>
          <w:tblHeader/>
          <w:jc w:val="center"/>
        </w:trPr>
        <w:tc>
          <w:tcPr>
            <w:tcW w:w="4873" w:type="dxa"/>
            <w:shd w:val="clear" w:color="auto" w:fill="D9EAF7"/>
            <w:vAlign w:val="center"/>
          </w:tcPr>
          <w:p w14:paraId="77693B03" w14:textId="77777777" w:rsidR="00F54324" w:rsidRDefault="00000000">
            <w:r>
              <w:t>Item</w:t>
            </w:r>
          </w:p>
        </w:tc>
        <w:tc>
          <w:tcPr>
            <w:tcW w:w="4873" w:type="dxa"/>
            <w:shd w:val="clear" w:color="auto" w:fill="D9EAF7"/>
            <w:vAlign w:val="center"/>
          </w:tcPr>
          <w:p w14:paraId="1B09D5A2" w14:textId="77777777" w:rsidR="00F54324" w:rsidRDefault="00000000">
            <w:r>
              <w:t>Representative figure / point</w:t>
            </w:r>
          </w:p>
        </w:tc>
      </w:tr>
      <w:tr w:rsidR="00F54324" w14:paraId="4ABCADF9" w14:textId="77777777">
        <w:trPr>
          <w:jc w:val="center"/>
        </w:trPr>
        <w:tc>
          <w:tcPr>
            <w:tcW w:w="4873" w:type="dxa"/>
          </w:tcPr>
          <w:p w14:paraId="5D2770FA" w14:textId="77777777" w:rsidR="00F54324" w:rsidRDefault="00000000">
            <w:r>
              <w:t>Total scale</w:t>
            </w:r>
          </w:p>
        </w:tc>
        <w:tc>
          <w:tcPr>
            <w:tcW w:w="4873" w:type="dxa"/>
          </w:tcPr>
          <w:p w14:paraId="4D262094" w14:textId="77777777" w:rsidR="00F54324" w:rsidRDefault="00000000">
            <w:r>
              <w:t>Approx. ¥15 trillion over 15 years</w:t>
            </w:r>
          </w:p>
        </w:tc>
      </w:tr>
      <w:tr w:rsidR="00F54324" w14:paraId="2FE53ADD" w14:textId="77777777">
        <w:trPr>
          <w:jc w:val="center"/>
        </w:trPr>
        <w:tc>
          <w:tcPr>
            <w:tcW w:w="4873" w:type="dxa"/>
          </w:tcPr>
          <w:p w14:paraId="436B0BFD" w14:textId="77777777" w:rsidR="00F54324" w:rsidRDefault="00000000">
            <w:r>
              <w:t>Annual investment</w:t>
            </w:r>
          </w:p>
        </w:tc>
        <w:tc>
          <w:tcPr>
            <w:tcW w:w="4873" w:type="dxa"/>
          </w:tcPr>
          <w:p w14:paraId="7CB7BD47" w14:textId="77777777" w:rsidR="00F54324" w:rsidRDefault="00000000">
            <w:r>
              <w:t>Approx. ¥1 trillion</w:t>
            </w:r>
          </w:p>
        </w:tc>
      </w:tr>
      <w:tr w:rsidR="00F54324" w14:paraId="241E8D67" w14:textId="77777777">
        <w:trPr>
          <w:jc w:val="center"/>
        </w:trPr>
        <w:tc>
          <w:tcPr>
            <w:tcW w:w="4873" w:type="dxa"/>
          </w:tcPr>
          <w:p w14:paraId="081003AF" w14:textId="77777777" w:rsidR="00F54324" w:rsidRDefault="00000000">
            <w:r>
              <w:t>GDP uplift</w:t>
            </w:r>
          </w:p>
        </w:tc>
        <w:tc>
          <w:tcPr>
            <w:tcW w:w="4873" w:type="dxa"/>
          </w:tcPr>
          <w:p w14:paraId="696A0A6B" w14:textId="77777777" w:rsidR="00F54324" w:rsidRDefault="00000000">
            <w:r>
              <w:t>+0.2% to +0.4% annually</w:t>
            </w:r>
          </w:p>
        </w:tc>
      </w:tr>
      <w:tr w:rsidR="00F54324" w14:paraId="4B0A5AAD" w14:textId="77777777">
        <w:trPr>
          <w:jc w:val="center"/>
        </w:trPr>
        <w:tc>
          <w:tcPr>
            <w:tcW w:w="4873" w:type="dxa"/>
          </w:tcPr>
          <w:p w14:paraId="43237CCA" w14:textId="77777777" w:rsidR="00F54324" w:rsidRDefault="00000000">
            <w:r>
              <w:t>NEASIF initial scale</w:t>
            </w:r>
          </w:p>
        </w:tc>
        <w:tc>
          <w:tcPr>
            <w:tcW w:w="4873" w:type="dxa"/>
          </w:tcPr>
          <w:p w14:paraId="43771917" w14:textId="77777777" w:rsidR="00F54324" w:rsidRDefault="00000000">
            <w:r>
              <w:t>¥3–5 trillion</w:t>
            </w:r>
          </w:p>
        </w:tc>
      </w:tr>
      <w:tr w:rsidR="00F54324" w14:paraId="3E96EFF0" w14:textId="77777777">
        <w:trPr>
          <w:jc w:val="center"/>
        </w:trPr>
        <w:tc>
          <w:tcPr>
            <w:tcW w:w="4873" w:type="dxa"/>
          </w:tcPr>
          <w:p w14:paraId="67457816" w14:textId="77777777" w:rsidR="00F54324" w:rsidRDefault="00000000">
            <w:r>
              <w:t>Safeguard</w:t>
            </w:r>
          </w:p>
        </w:tc>
        <w:tc>
          <w:tcPr>
            <w:tcW w:w="4873" w:type="dxa"/>
          </w:tcPr>
          <w:p w14:paraId="6F1CCAA4" w14:textId="77777777" w:rsidR="00F54324" w:rsidRDefault="00000000">
            <w:r>
              <w:t>Automatic suspension if long-term JGB yield exceeds 3%</w:t>
            </w:r>
          </w:p>
        </w:tc>
      </w:tr>
    </w:tbl>
    <w:p w14:paraId="3F7F957E" w14:textId="77777777" w:rsidR="00F54324" w:rsidRDefault="00F54324"/>
    <w:p w14:paraId="1C96CB4E" w14:textId="77777777" w:rsidR="00F54324" w:rsidRDefault="00F54324"/>
    <w:p w14:paraId="60024294" w14:textId="77777777" w:rsidR="00F54324" w:rsidRDefault="00F54324"/>
    <w:p w14:paraId="51C12066" w14:textId="77777777" w:rsidR="00F54324" w:rsidRDefault="00F54324"/>
    <w:p w14:paraId="7904D3D3" w14:textId="77777777" w:rsidR="00F54324" w:rsidRDefault="00F54324"/>
    <w:p w14:paraId="493F3FA3" w14:textId="77777777" w:rsidR="00F54324" w:rsidRDefault="00F54324"/>
    <w:p w14:paraId="1A791EF8" w14:textId="77777777" w:rsidR="00F54324" w:rsidRDefault="00F54324"/>
    <w:p w14:paraId="33A5BFE6" w14:textId="77777777" w:rsidR="00F54324" w:rsidRDefault="00F54324"/>
    <w:p w14:paraId="78BFB00B" w14:textId="77777777" w:rsidR="00F54324" w:rsidRDefault="00F54324"/>
    <w:p w14:paraId="6CD19FDD" w14:textId="77777777" w:rsidR="00F54324" w:rsidRDefault="00F54324"/>
    <w:p w14:paraId="40EEC384" w14:textId="77777777" w:rsidR="00F54324" w:rsidRDefault="00F54324"/>
    <w:p w14:paraId="22CF7DE4" w14:textId="77777777" w:rsidR="00F54324" w:rsidRDefault="00F54324"/>
    <w:p w14:paraId="0D1D4CA1" w14:textId="77777777" w:rsidR="00F54324" w:rsidRDefault="00F54324"/>
    <w:p w14:paraId="381163D4" w14:textId="77777777" w:rsidR="00F54324" w:rsidRDefault="00F54324"/>
    <w:p w14:paraId="0E2F7D5B" w14:textId="77777777" w:rsidR="00F54324" w:rsidRDefault="00F54324"/>
    <w:p w14:paraId="4EE8CE85" w14:textId="77777777" w:rsidR="00F54324" w:rsidRDefault="00F54324"/>
    <w:p w14:paraId="5447A293" w14:textId="77777777" w:rsidR="00F54324" w:rsidRDefault="00F54324"/>
    <w:p w14:paraId="5B34CE92" w14:textId="77777777" w:rsidR="00F54324" w:rsidRDefault="00F54324"/>
    <w:p w14:paraId="13E5A9D5" w14:textId="77777777" w:rsidR="00F54324" w:rsidRDefault="00F54324"/>
    <w:p w14:paraId="6CB10E58" w14:textId="77777777" w:rsidR="00F54324" w:rsidRDefault="00F54324"/>
    <w:p w14:paraId="5F802820" w14:textId="77777777" w:rsidR="00F54324" w:rsidRDefault="00F54324"/>
    <w:sectPr w:rsidR="00F54324" w:rsidSect="00762633">
      <w:pgSz w:w="11906" w:h="16838"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747700694">
    <w:abstractNumId w:val="8"/>
  </w:num>
  <w:num w:numId="2" w16cid:durableId="1776056417">
    <w:abstractNumId w:val="6"/>
  </w:num>
  <w:num w:numId="3" w16cid:durableId="1592931209">
    <w:abstractNumId w:val="5"/>
  </w:num>
  <w:num w:numId="4" w16cid:durableId="680350086">
    <w:abstractNumId w:val="4"/>
  </w:num>
  <w:num w:numId="5" w16cid:durableId="1928689718">
    <w:abstractNumId w:val="7"/>
  </w:num>
  <w:num w:numId="6" w16cid:durableId="1734617411">
    <w:abstractNumId w:val="3"/>
  </w:num>
  <w:num w:numId="7" w16cid:durableId="2122915059">
    <w:abstractNumId w:val="2"/>
  </w:num>
  <w:num w:numId="8" w16cid:durableId="1073116734">
    <w:abstractNumId w:val="1"/>
  </w:num>
  <w:num w:numId="9" w16cid:durableId="229507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65ECE"/>
    <w:rsid w:val="0015074B"/>
    <w:rsid w:val="0029639D"/>
    <w:rsid w:val="00326F90"/>
    <w:rsid w:val="00762633"/>
    <w:rsid w:val="00780A6A"/>
    <w:rsid w:val="0090708C"/>
    <w:rsid w:val="00A52ECA"/>
    <w:rsid w:val="00AA1D8D"/>
    <w:rsid w:val="00B47730"/>
    <w:rsid w:val="00CB0664"/>
    <w:rsid w:val="00DD0A55"/>
    <w:rsid w:val="00F5432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54709222"/>
  <w14:defaultImageDpi w14:val="300"/>
  <w15:docId w15:val="{29EFD1AC-4F15-4D15-AC8E-208C977D8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after="80" w:line="312" w:lineRule="auto"/>
    </w:pPr>
    <w:rPr>
      <w:rFonts w:ascii="メイリオ" w:eastAsia="メイリオ" w:hAnsi="メイリオ"/>
      <w:sz w:val="21"/>
    </w:rPr>
  </w:style>
  <w:style w:type="paragraph" w:styleId="1">
    <w:name w:val="heading 1"/>
    <w:basedOn w:val="a1"/>
    <w:next w:val="a1"/>
    <w:link w:val="10"/>
    <w:uiPriority w:val="9"/>
    <w:qFormat/>
    <w:rsid w:val="00FC693F"/>
    <w:pPr>
      <w:keepNext/>
      <w:keepLines/>
      <w:spacing w:before="480" w:after="0"/>
      <w:outlineLvl w:val="0"/>
    </w:pPr>
    <w:rPr>
      <w:rFonts w:asciiTheme="majorHAnsi" w:eastAsiaTheme="majorEastAsia" w:hAnsiTheme="majorHAnsi" w:cstheme="majorBidi"/>
      <w:b/>
      <w:bCs/>
      <w:color w:val="2F5496"/>
      <w:sz w:val="30"/>
      <w:szCs w:val="28"/>
    </w:rPr>
  </w:style>
  <w:style w:type="paragraph" w:styleId="21">
    <w:name w:val="heading 2"/>
    <w:basedOn w:val="a1"/>
    <w:next w:val="a1"/>
    <w:link w:val="22"/>
    <w:uiPriority w:val="9"/>
    <w:unhideWhenUsed/>
    <w:qFormat/>
    <w:rsid w:val="00FC693F"/>
    <w:pPr>
      <w:keepNext/>
      <w:keepLines/>
      <w:spacing w:before="200" w:after="0"/>
      <w:outlineLvl w:val="1"/>
    </w:pPr>
    <w:rPr>
      <w:rFonts w:asciiTheme="majorHAnsi" w:eastAsiaTheme="majorEastAsia" w:hAnsiTheme="majorHAnsi" w:cstheme="majorBidi"/>
      <w:b/>
      <w:bCs/>
      <w:color w:val="1F1F1F"/>
      <w:sz w:val="24"/>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1F1F1F"/>
      <w:sz w:val="22"/>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ヘッダー (文字)"/>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フッター (文字)"/>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見出し 1 (文字)"/>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見出し 2 (文字)"/>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見出し 3 (文字)"/>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b/>
      <w:color w:val="2F5496"/>
      <w:spacing w:val="5"/>
      <w:kern w:val="28"/>
      <w:sz w:val="40"/>
      <w:szCs w:val="52"/>
    </w:rPr>
  </w:style>
  <w:style w:type="character" w:customStyle="1" w:styleId="ab">
    <w:name w:val="表題 (文字)"/>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題 (文字)"/>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本文 (文字)"/>
    <w:basedOn w:val="a2"/>
    <w:link w:val="af"/>
    <w:uiPriority w:val="99"/>
    <w:rsid w:val="00AA1D8D"/>
  </w:style>
  <w:style w:type="paragraph" w:styleId="23">
    <w:name w:val="Body Text 2"/>
    <w:basedOn w:val="a1"/>
    <w:link w:val="24"/>
    <w:uiPriority w:val="99"/>
    <w:unhideWhenUsed/>
    <w:rsid w:val="00AA1D8D"/>
    <w:pPr>
      <w:spacing w:after="120" w:line="480" w:lineRule="auto"/>
    </w:pPr>
  </w:style>
  <w:style w:type="character" w:customStyle="1" w:styleId="24">
    <w:name w:val="本文 2 (文字)"/>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本文 3 (文字)"/>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マクロ文字列 (文字)"/>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用文 (文字)"/>
    <w:basedOn w:val="a2"/>
    <w:link w:val="af5"/>
    <w:uiPriority w:val="29"/>
    <w:rsid w:val="00FC693F"/>
    <w:rPr>
      <w:i/>
      <w:iCs/>
      <w:color w:val="000000" w:themeColor="text1"/>
    </w:rPr>
  </w:style>
  <w:style w:type="character" w:customStyle="1" w:styleId="40">
    <w:name w:val="見出し 4 (文字)"/>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見出し 5 (文字)"/>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見出し 6 (文字)"/>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見出し 7 (文字)"/>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見出し 8 (文字)"/>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見出し 9 (文字)"/>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27">
    <w:name w:val="Intense Quote"/>
    <w:basedOn w:val="a1"/>
    <w:next w:val="a1"/>
    <w:link w:val="28"/>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28">
    <w:name w:val="引用文 2 (文字)"/>
    <w:basedOn w:val="a2"/>
    <w:link w:val="27"/>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29">
    <w:name w:val="Intense Emphasis"/>
    <w:basedOn w:val="a2"/>
    <w:uiPriority w:val="21"/>
    <w:qFormat/>
    <w:rsid w:val="00FC693F"/>
    <w:rPr>
      <w:b/>
      <w:bCs/>
      <w:i/>
      <w:iCs/>
      <w:color w:val="4F81BD" w:themeColor="accent1"/>
    </w:rPr>
  </w:style>
  <w:style w:type="character" w:styleId="afb">
    <w:name w:val="Subtle Reference"/>
    <w:basedOn w:val="a2"/>
    <w:uiPriority w:val="31"/>
    <w:qFormat/>
    <w:rsid w:val="00FC693F"/>
    <w:rPr>
      <w:smallCaps/>
      <w:color w:val="C0504D" w:themeColor="accent2"/>
      <w:u w:val="single"/>
    </w:rPr>
  </w:style>
  <w:style w:type="character" w:styleId="2a">
    <w:name w:val="Intense Reference"/>
    <w:basedOn w:val="a2"/>
    <w:uiPriority w:val="32"/>
    <w:qFormat/>
    <w:rsid w:val="00FC693F"/>
    <w:rPr>
      <w:b/>
      <w:bCs/>
      <w:smallCaps/>
      <w:color w:val="C0504D" w:themeColor="accent2"/>
      <w:spacing w:val="5"/>
      <w:u w:val="single"/>
    </w:rPr>
  </w:style>
  <w:style w:type="character" w:styleId="afc">
    <w:name w:val="Book Title"/>
    <w:basedOn w:val="a2"/>
    <w:uiPriority w:val="33"/>
    <w:qFormat/>
    <w:rsid w:val="00FC693F"/>
    <w:rPr>
      <w:b/>
      <w:bCs/>
      <w:smallCaps/>
      <w:spacing w:val="5"/>
    </w:rPr>
  </w:style>
  <w:style w:type="paragraph" w:styleId="afd">
    <w:name w:val="TOC Heading"/>
    <w:basedOn w:val="1"/>
    <w:next w:val="a1"/>
    <w:uiPriority w:val="39"/>
    <w:semiHidden/>
    <w:unhideWhenUsed/>
    <w:qFormat/>
    <w:rsid w:val="00FC693F"/>
    <w:pPr>
      <w:outlineLvl w:val="9"/>
    </w:pPr>
  </w:style>
  <w:style w:type="table" w:styleId="afe">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2">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3">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14">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5">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16">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7">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b">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c">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d">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e">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f">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2f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2f1">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7">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8">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39">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a">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3b">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3c">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3d">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4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42">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43">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44">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45">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46">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47">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51">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2">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3">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4">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5">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6">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7">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1">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62">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63">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64">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65">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66">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67">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71">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2">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73">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74">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75">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76">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77">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82">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83">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4">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5">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86">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87">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1">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92">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93">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94">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95">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96">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97">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100">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0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0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0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10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10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0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110">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11">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11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113">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14">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15">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6">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120">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21">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122">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2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24">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125">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126">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130">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31">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32">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133">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3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35">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136">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140">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41">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42">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43">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4">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4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46">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24</Pages>
  <Words>1936</Words>
  <Characters>11037</Characters>
  <Application>Microsoft Office Word</Application>
  <DocSecurity>0</DocSecurity>
  <Lines>91</Lines>
  <Paragraphs>25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12948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葬祭 天龍</cp:lastModifiedBy>
  <cp:revision>3</cp:revision>
  <dcterms:created xsi:type="dcterms:W3CDTF">2013-12-23T23:15:00Z</dcterms:created>
  <dcterms:modified xsi:type="dcterms:W3CDTF">2026-04-13T09:46:00Z</dcterms:modified>
  <cp:category/>
</cp:coreProperties>
</file>