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Yu Gothic" w:hAnsi="Yu Gothic" w:eastAsia="Yu Gothic"/>
          <w:b/>
          <w:color w:val="1F3756"/>
          <w:sz w:val="30"/>
        </w:rPr>
        <w:t>関係府省庁分担表（A4・1ページ版）</w:t>
      </w:r>
    </w:p>
    <w:p>
      <w:pPr>
        <w:jc w:val="center"/>
      </w:pPr>
      <w:r>
        <w:rPr>
          <w:rFonts w:ascii="Yu Gothic" w:hAnsi="Yu Gothic" w:eastAsia="Yu Gothic"/>
          <w:i w:val="0"/>
          <w:color w:val="5A5A5A"/>
          <w:sz w:val="19"/>
        </w:rPr>
        <w:t>北日本戦略再設計構想／内閣府向け補助資料</w:t>
      </w:r>
    </w:p>
    <w:p>
      <w:pPr>
        <w:spacing w:after="100"/>
      </w:pPr>
      <w:r>
        <w:rPr>
          <w:rFonts w:ascii="Yu Gothic" w:hAnsi="Yu Gothic" w:eastAsia="Yu Gothic"/>
          <w:color w:val="505050"/>
          <w:sz w:val="17"/>
        </w:rPr>
        <w:t>※ 司令塔機能を担う内閣府の下で、各府省庁が所管分野ごとに役割を分担しつつ、四本の矢を統合実装する前提で整理。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47"/>
        <w:gridCol w:w="1531"/>
        <w:gridCol w:w="4025"/>
        <w:gridCol w:w="6917"/>
      </w:tblGrid>
      <w:tr>
        <w:trPr>
          <w:tblHeader w:val="true"/>
        </w:trPr>
        <w:tc>
          <w:tcPr>
            <w:tcW w:type="dxa" w:w="1247"/>
            <w:vAlign w:val="center"/>
            <w:shd w:fill="D9E2F3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center"/>
            </w:pPr>
            <w:r>
              <w:rPr>
                <w:rFonts w:ascii="Yu Gothic" w:hAnsi="Yu Gothic" w:eastAsia="Yu Gothic"/>
                <w:b/>
                <w:sz w:val="18"/>
              </w:rPr>
              <w:t>区分</w:t>
            </w:r>
          </w:p>
        </w:tc>
        <w:tc>
          <w:tcPr>
            <w:tcW w:type="dxa" w:w="1531"/>
            <w:vAlign w:val="center"/>
            <w:shd w:fill="D9E2F3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center"/>
            </w:pPr>
            <w:r>
              <w:rPr>
                <w:rFonts w:ascii="Yu Gothic" w:hAnsi="Yu Gothic" w:eastAsia="Yu Gothic"/>
                <w:b/>
                <w:sz w:val="18"/>
              </w:rPr>
              <w:t>主体</w:t>
            </w:r>
          </w:p>
        </w:tc>
        <w:tc>
          <w:tcPr>
            <w:tcW w:type="dxa" w:w="4025"/>
            <w:vAlign w:val="center"/>
            <w:shd w:fill="D9E2F3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center"/>
            </w:pPr>
            <w:r>
              <w:rPr>
                <w:rFonts w:ascii="Yu Gothic" w:hAnsi="Yu Gothic" w:eastAsia="Yu Gothic"/>
                <w:b/>
                <w:sz w:val="18"/>
              </w:rPr>
              <w:t>主な役割</w:t>
            </w:r>
          </w:p>
        </w:tc>
        <w:tc>
          <w:tcPr>
            <w:tcW w:type="dxa" w:w="6917"/>
            <w:vAlign w:val="center"/>
            <w:shd w:fill="D9E2F3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/>
              <w:jc w:val="center"/>
            </w:pPr>
            <w:r>
              <w:rPr>
                <w:rFonts w:ascii="Yu Gothic" w:hAnsi="Yu Gothic" w:eastAsia="Yu Gothic"/>
                <w:b/>
                <w:sz w:val="18"/>
              </w:rPr>
              <w:t>主な接続論点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  <w:shd w:fill="EEF3F8"/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司令塔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  <w:shd w:fill="EEF3F8"/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内閣府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  <w:shd w:fill="EEF3F8"/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関係府省庁横断の論点整理、工程管理、優先順位付け、政策統合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  <w:shd w:fill="EEF3F8"/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地方創生／経済安全保障／科学技術／国土強靱化／国家継続性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財政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財務省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原資設計、財政規律、停止条件、制度の歯止め整理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外為特会／NEASIF／15年時限／5年レビュー／金利3%停止条項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産業・電力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経済産業省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産業立地、エネルギー政策、半導体後工程・材料、計算基盤整備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第一の矢／地熱・再エネ／DC／産業集積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継続性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防衛省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三沢分散防衛拠点、国家継続性の冗長レイヤー整合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第二の矢／航空・情報・後方兵站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継続性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国土交通省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港湾、物流、交通、代替輸送、寒冷地インフラ整備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第一の矢／港湾・空港／融雪／広域物流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国際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外務省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国際共同出資、対外説明、外交整合、共同利害形成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第四の矢／英国・インド等との枠組み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デジタル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デジタル庁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データ基盤、行政横断デジタル統合、計算基盤連携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AI社会インフラ／多AI共存基盤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通信・自治体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総務省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通信基盤、自治体実装、地域情報基盤整備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通信冗長化／自治体運用／地域DX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社会保障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厚生労働省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就労継続、重症化予防、制度持続性向上に資する接続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ASD・グレーゾーン支援／社会保障負担の伸び抑制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地域調整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農林水産省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漁業権、水産、海域利用、地域合意形成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陸奥湾利用／漁場・漁業調整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環境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環境省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段階的環境影響評価、景観調和、再エネ整合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海域環境／自然環境／地熱・景観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教育研究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文部科学省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大学・高専・研究機関・人材循環の形成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研究開発／地方定着型人材循環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法制度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法務省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法人、契約、権利義務、資産管理、人権配慮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NEASIFの法的器／登記／外国人高度人材</w:t>
            </w:r>
          </w:p>
        </w:tc>
      </w:tr>
      <w:tr>
        <w:tc>
          <w:tcPr>
            <w:tcW w:type="dxa" w:w="124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b/>
                <w:color w:val="363636"/>
                <w:sz w:val="16"/>
              </w:rPr>
              <w:t>法令審査</w:t>
            </w:r>
          </w:p>
        </w:tc>
        <w:tc>
          <w:tcPr>
            <w:tcW w:type="dxa" w:w="1531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center"/>
            </w:pPr>
            <w:r>
              <w:rPr>
                <w:rFonts w:ascii="Yu Gothic" w:hAnsi="Yu Gothic" w:eastAsia="Yu Gothic"/>
                <w:sz w:val="16"/>
              </w:rPr>
              <w:t>内閣法制局</w:t>
            </w:r>
          </w:p>
        </w:tc>
        <w:tc>
          <w:tcPr>
            <w:tcW w:type="dxa" w:w="4025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制度化段階における法令審査・最終整合</w:t>
            </w:r>
          </w:p>
        </w:tc>
        <w:tc>
          <w:tcPr>
            <w:tcW w:type="dxa" w:w="6917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pPr>
              <w:spacing w:after="0" w:line="240" w:lineRule="auto"/>
              <w:jc w:val="left"/>
            </w:pPr>
            <w:r>
              <w:rPr>
                <w:rFonts w:ascii="Yu Gothic" w:hAnsi="Yu Gothic" w:eastAsia="Yu Gothic"/>
                <w:sz w:val="16"/>
              </w:rPr>
              <w:t>法令上の整理／制度実装の最終関門</w:t>
            </w:r>
          </w:p>
        </w:tc>
      </w:tr>
    </w:tbl>
    <w:p>
      <w:pPr>
        <w:spacing w:before="80" w:after="0"/>
      </w:pPr>
      <w:r>
        <w:rPr>
          <w:rFonts w:ascii="Yu Gothic" w:hAnsi="Yu Gothic" w:eastAsia="Yu Gothic"/>
          <w:b/>
          <w:sz w:val="16"/>
        </w:rPr>
        <w:t>整理の見方：</w:t>
      </w:r>
      <w:r>
        <w:rPr>
          <w:rFonts w:ascii="Yu Gothic" w:hAnsi="Yu Gothic" w:eastAsia="Yu Gothic"/>
          <w:sz w:val="16"/>
        </w:rPr>
        <w:t xml:space="preserve"> 左から「区分」「所管主体」「主な役割」「主な接続論点」の順で整理。内閣府は司令塔であり、個別省庁の所掌を代替するのではなく、政策統合と工程管理を担う。</w:t>
      </w:r>
    </w:p>
    <w:sectPr w:rsidR="00FC693F" w:rsidRPr="0006063C" w:rsidSect="00034616">
      <w:pgSz w:w="15840" w:h="12240" w:orient="landscape"/>
      <w:pgMar w:top="794" w:right="794" w:bottom="794" w:left="79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Yu Gothic" w:hAnsi="Yu Gothic" w:eastAsia="Yu Gothic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