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BF595" w14:textId="77777777" w:rsidR="007C7587" w:rsidRDefault="007C7587" w:rsidP="007C7587">
      <w:pPr>
        <w:pStyle w:val="SmallHeader"/>
        <w:jc w:val="center"/>
        <w:rPr>
          <w:lang w:eastAsia="ja-JP"/>
        </w:rPr>
      </w:pPr>
    </w:p>
    <w:p w14:paraId="0D6322B6" w14:textId="77777777" w:rsidR="007C7587" w:rsidRDefault="007C7587">
      <w:pPr>
        <w:pStyle w:val="SmallHeader"/>
        <w:rPr>
          <w:lang w:eastAsia="ja-JP"/>
        </w:rPr>
      </w:pPr>
    </w:p>
    <w:p w14:paraId="78E7DBE1" w14:textId="77777777" w:rsidR="007C7587" w:rsidRDefault="007C7587">
      <w:pPr>
        <w:pStyle w:val="SmallHeader"/>
        <w:rPr>
          <w:lang w:eastAsia="ja-JP"/>
        </w:rPr>
      </w:pPr>
    </w:p>
    <w:p w14:paraId="681653DA" w14:textId="77777777" w:rsidR="007C7587" w:rsidRDefault="007C7587">
      <w:pPr>
        <w:pStyle w:val="SmallHeader"/>
        <w:rPr>
          <w:lang w:eastAsia="ja-JP"/>
        </w:rPr>
      </w:pPr>
    </w:p>
    <w:p w14:paraId="45546C05" w14:textId="77777777" w:rsidR="007C7587" w:rsidRPr="007C7587" w:rsidRDefault="007C7587" w:rsidP="007C7587">
      <w:pPr>
        <w:pStyle w:val="SmallHeader"/>
        <w:jc w:val="center"/>
        <w:rPr>
          <w:sz w:val="36"/>
          <w:szCs w:val="48"/>
          <w:lang w:eastAsia="ja-JP"/>
        </w:rPr>
      </w:pPr>
      <w:r w:rsidRPr="007C7587">
        <w:rPr>
          <w:rFonts w:hint="eastAsia"/>
          <w:sz w:val="36"/>
          <w:szCs w:val="48"/>
          <w:lang w:eastAsia="ja-JP"/>
        </w:rPr>
        <w:t>北日本戦略再設計構想</w:t>
      </w:r>
    </w:p>
    <w:p w14:paraId="52C0E803" w14:textId="77777777" w:rsidR="007C7587" w:rsidRPr="007C7587" w:rsidRDefault="007C7587" w:rsidP="007C7587">
      <w:pPr>
        <w:pStyle w:val="SmallHeader"/>
        <w:jc w:val="center"/>
        <w:rPr>
          <w:sz w:val="36"/>
          <w:szCs w:val="48"/>
          <w:lang w:eastAsia="ja-JP"/>
        </w:rPr>
      </w:pPr>
      <w:r w:rsidRPr="007C7587">
        <w:rPr>
          <w:rFonts w:hint="eastAsia"/>
          <w:sz w:val="36"/>
          <w:szCs w:val="48"/>
          <w:lang w:eastAsia="ja-JP"/>
        </w:rPr>
        <w:t>【財務省向け説明資料】</w:t>
      </w:r>
    </w:p>
    <w:p w14:paraId="4D91A005" w14:textId="77777777" w:rsidR="007C7587" w:rsidRPr="007C7587" w:rsidRDefault="007C7587" w:rsidP="007C7587">
      <w:pPr>
        <w:pStyle w:val="SmallHeader"/>
        <w:jc w:val="center"/>
        <w:rPr>
          <w:sz w:val="36"/>
          <w:szCs w:val="48"/>
          <w:lang w:eastAsia="ja-JP"/>
        </w:rPr>
      </w:pPr>
      <w:r w:rsidRPr="007C7587">
        <w:rPr>
          <w:rFonts w:hint="eastAsia"/>
          <w:sz w:val="36"/>
          <w:szCs w:val="48"/>
          <w:lang w:eastAsia="ja-JP"/>
        </w:rPr>
        <w:t>財源設計・財政規律・保険価値に関する説明資料</w:t>
      </w:r>
    </w:p>
    <w:p w14:paraId="66B4ACFE" w14:textId="77777777" w:rsidR="007C7587" w:rsidRDefault="007C7587" w:rsidP="007C7587">
      <w:pPr>
        <w:pStyle w:val="SmallHeader"/>
        <w:jc w:val="center"/>
        <w:rPr>
          <w:lang w:eastAsia="ja-JP"/>
        </w:rPr>
      </w:pPr>
    </w:p>
    <w:p w14:paraId="37B10A59" w14:textId="77777777" w:rsidR="007C7587" w:rsidRDefault="007C7587" w:rsidP="007C7587">
      <w:pPr>
        <w:pStyle w:val="SmallHeader"/>
        <w:jc w:val="center"/>
        <w:rPr>
          <w:lang w:eastAsia="ja-JP"/>
        </w:rPr>
      </w:pPr>
    </w:p>
    <w:p w14:paraId="3AB5182F" w14:textId="77777777" w:rsidR="007C7587" w:rsidRDefault="007C7587" w:rsidP="007C7587">
      <w:pPr>
        <w:pStyle w:val="SmallHeader"/>
        <w:jc w:val="center"/>
        <w:rPr>
          <w:lang w:eastAsia="ja-JP"/>
        </w:rPr>
      </w:pPr>
    </w:p>
    <w:p w14:paraId="16B6BF5E" w14:textId="77777777" w:rsidR="007C7587" w:rsidRDefault="007C7587" w:rsidP="007C7587">
      <w:pPr>
        <w:pStyle w:val="SmallHeader"/>
        <w:jc w:val="center"/>
        <w:rPr>
          <w:rFonts w:hint="eastAsia"/>
          <w:lang w:eastAsia="ja-JP"/>
        </w:rPr>
      </w:pPr>
    </w:p>
    <w:p w14:paraId="3C5D698F" w14:textId="77777777" w:rsidR="007C7587" w:rsidRPr="007C7587" w:rsidRDefault="007C7587" w:rsidP="007C7587">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62ACF2B1" w14:textId="66A77242" w:rsidR="007C7587" w:rsidRPr="007C7587" w:rsidRDefault="007C7587" w:rsidP="007C7587">
      <w:pPr>
        <w:pStyle w:val="SmallHeader"/>
        <w:jc w:val="center"/>
        <w:rPr>
          <w:sz w:val="22"/>
          <w:szCs w:val="32"/>
          <w:lang w:eastAsia="ja-JP"/>
        </w:rPr>
      </w:pPr>
      <w:r w:rsidRPr="007C7587">
        <w:rPr>
          <w:rFonts w:hint="eastAsia"/>
          <w:sz w:val="22"/>
          <w:szCs w:val="32"/>
          <w:lang w:eastAsia="ja-JP"/>
        </w:rPr>
        <w:t>提出日：令和○年○月○日</w:t>
      </w:r>
    </w:p>
    <w:p w14:paraId="0A7831B2" w14:textId="77777777" w:rsidR="007C7587" w:rsidRDefault="007C7587">
      <w:pPr>
        <w:pStyle w:val="SmallHeader"/>
        <w:rPr>
          <w:lang w:eastAsia="ja-JP"/>
        </w:rPr>
      </w:pPr>
    </w:p>
    <w:p w14:paraId="57506B8A" w14:textId="77777777" w:rsidR="007C7587" w:rsidRDefault="007C7587">
      <w:pPr>
        <w:pStyle w:val="SmallHeader"/>
        <w:rPr>
          <w:lang w:eastAsia="ja-JP"/>
        </w:rPr>
      </w:pPr>
    </w:p>
    <w:p w14:paraId="3208F614" w14:textId="77777777" w:rsidR="007C7587" w:rsidRDefault="007C7587">
      <w:pPr>
        <w:pStyle w:val="SmallHeader"/>
        <w:rPr>
          <w:lang w:eastAsia="ja-JP"/>
        </w:rPr>
      </w:pPr>
    </w:p>
    <w:p w14:paraId="3A485D23" w14:textId="77777777" w:rsidR="007C7587" w:rsidRDefault="007C7587">
      <w:pPr>
        <w:pStyle w:val="SmallHeader"/>
        <w:rPr>
          <w:lang w:eastAsia="ja-JP"/>
        </w:rPr>
      </w:pPr>
    </w:p>
    <w:p w14:paraId="31EA1FD4" w14:textId="77777777" w:rsidR="007C7587" w:rsidRDefault="007C7587">
      <w:pPr>
        <w:pStyle w:val="SmallHeader"/>
        <w:rPr>
          <w:lang w:eastAsia="ja-JP"/>
        </w:rPr>
      </w:pPr>
    </w:p>
    <w:p w14:paraId="4430645E" w14:textId="77777777" w:rsidR="007C7587" w:rsidRDefault="007C7587">
      <w:pPr>
        <w:pStyle w:val="SmallHeader"/>
        <w:rPr>
          <w:lang w:eastAsia="ja-JP"/>
        </w:rPr>
      </w:pPr>
    </w:p>
    <w:p w14:paraId="55C07621" w14:textId="77777777" w:rsidR="007C7587" w:rsidRDefault="007C7587">
      <w:pPr>
        <w:pStyle w:val="SmallHeader"/>
        <w:rPr>
          <w:lang w:eastAsia="ja-JP"/>
        </w:rPr>
      </w:pPr>
    </w:p>
    <w:p w14:paraId="0C0B2427" w14:textId="77777777" w:rsidR="007C7587" w:rsidRDefault="007C7587">
      <w:pPr>
        <w:pStyle w:val="SmallHeader"/>
        <w:rPr>
          <w:lang w:eastAsia="ja-JP"/>
        </w:rPr>
      </w:pPr>
    </w:p>
    <w:p w14:paraId="3E5B31A5" w14:textId="77777777" w:rsidR="007C7587" w:rsidRDefault="007C7587">
      <w:pPr>
        <w:pStyle w:val="SmallHeader"/>
        <w:rPr>
          <w:lang w:eastAsia="ja-JP"/>
        </w:rPr>
      </w:pPr>
    </w:p>
    <w:p w14:paraId="62FC6F3E" w14:textId="77777777" w:rsidR="007C7587" w:rsidRDefault="007C7587">
      <w:pPr>
        <w:pStyle w:val="SmallHeader"/>
        <w:rPr>
          <w:lang w:eastAsia="ja-JP"/>
        </w:rPr>
      </w:pPr>
    </w:p>
    <w:p w14:paraId="230B77CE" w14:textId="77777777" w:rsidR="007C7587" w:rsidRDefault="007C7587">
      <w:pPr>
        <w:pStyle w:val="SmallHeader"/>
        <w:rPr>
          <w:lang w:eastAsia="ja-JP"/>
        </w:rPr>
      </w:pPr>
    </w:p>
    <w:p w14:paraId="36267FB8" w14:textId="77777777" w:rsidR="007C7587" w:rsidRDefault="007C7587">
      <w:pPr>
        <w:pStyle w:val="SmallHeader"/>
        <w:rPr>
          <w:lang w:eastAsia="ja-JP"/>
        </w:rPr>
      </w:pPr>
    </w:p>
    <w:p w14:paraId="25FE2ABC" w14:textId="77777777" w:rsidR="007C7587" w:rsidRDefault="007C7587">
      <w:pPr>
        <w:pStyle w:val="SmallHeader"/>
        <w:rPr>
          <w:lang w:eastAsia="ja-JP"/>
        </w:rPr>
      </w:pPr>
    </w:p>
    <w:p w14:paraId="5F1DBC02" w14:textId="77777777" w:rsidR="007C7587" w:rsidRDefault="007C7587">
      <w:pPr>
        <w:pStyle w:val="SmallHeader"/>
        <w:rPr>
          <w:lang w:eastAsia="ja-JP"/>
        </w:rPr>
      </w:pPr>
    </w:p>
    <w:p w14:paraId="37C55198" w14:textId="212ADCA6" w:rsidR="00987E00" w:rsidRDefault="00000000">
      <w:pPr>
        <w:pStyle w:val="SmallHeader"/>
        <w:rPr>
          <w:lang w:eastAsia="ja-JP"/>
        </w:rPr>
      </w:pPr>
      <w:r>
        <w:rPr>
          <w:lang w:eastAsia="ja-JP"/>
        </w:rPr>
        <w:lastRenderedPageBreak/>
        <w:t>財務省向け／説明資料（案）</w:t>
      </w:r>
    </w:p>
    <w:p w14:paraId="27D7FCE7" w14:textId="77777777" w:rsidR="00987E00" w:rsidRDefault="00000000">
      <w:pPr>
        <w:pStyle w:val="DocTitle"/>
        <w:rPr>
          <w:lang w:eastAsia="ja-JP"/>
        </w:rPr>
      </w:pPr>
      <w:r>
        <w:rPr>
          <w:lang w:eastAsia="ja-JP"/>
        </w:rPr>
        <w:t>北日本戦略再設計構想</w:t>
      </w:r>
    </w:p>
    <w:p w14:paraId="240DE4BD" w14:textId="77777777" w:rsidR="00987E00" w:rsidRDefault="00000000">
      <w:pPr>
        <w:pStyle w:val="DocSubtitle"/>
        <w:rPr>
          <w:lang w:eastAsia="ja-JP"/>
        </w:rPr>
      </w:pPr>
      <w:r>
        <w:rPr>
          <w:lang w:eastAsia="ja-JP"/>
        </w:rPr>
        <w:t>財政規律・投資持続性・保険価値に関する説明資料</w:t>
      </w:r>
    </w:p>
    <w:p w14:paraId="440CF0B0" w14:textId="77777777" w:rsidR="00987E00" w:rsidRDefault="00000000">
      <w:pPr>
        <w:pStyle w:val="21"/>
        <w:rPr>
          <w:lang w:eastAsia="ja-JP"/>
        </w:rPr>
      </w:pPr>
      <w:r>
        <w:rPr>
          <w:lang w:eastAsia="ja-JP"/>
        </w:rPr>
        <w:t>作成目的</w:t>
      </w:r>
    </w:p>
    <w:p w14:paraId="3F7A7B76" w14:textId="77777777" w:rsidR="00987E00" w:rsidRDefault="00000000">
      <w:pPr>
        <w:rPr>
          <w:lang w:eastAsia="ja-JP"/>
        </w:rPr>
      </w:pPr>
      <w:r>
        <w:rPr>
          <w:lang w:eastAsia="ja-JP"/>
        </w:rPr>
        <w:t>本資料は、北日本戦略再設計構想について、財政規律、原資設計、投資持続性、保険価値及び制度上の歯止めを中心に整理し、財務省向け説明用資料として取りまとめるものである。</w:t>
      </w:r>
    </w:p>
    <w:p w14:paraId="58DF2A71" w14:textId="77777777" w:rsidR="00987E00" w:rsidRDefault="00000000">
      <w:pPr>
        <w:pStyle w:val="21"/>
        <w:rPr>
          <w:lang w:eastAsia="ja-JP"/>
        </w:rPr>
      </w:pPr>
      <w:r>
        <w:rPr>
          <w:lang w:eastAsia="ja-JP"/>
        </w:rPr>
        <w:t>位置づけ</w:t>
      </w:r>
    </w:p>
    <w:p w14:paraId="046C2352" w14:textId="77777777" w:rsidR="00987E00" w:rsidRDefault="00000000">
      <w:pPr>
        <w:rPr>
          <w:lang w:eastAsia="ja-JP"/>
        </w:rPr>
      </w:pPr>
      <w:r>
        <w:rPr>
          <w:lang w:eastAsia="ja-JP"/>
        </w:rPr>
        <w:t>本資料は総合版から財務省向け論点を抽出した説明資料であり、記載数値については、公表統計、政府資料その他の公式値に基づき今後再検証を行う前提で整理したものである。</w:t>
      </w:r>
    </w:p>
    <w:p w14:paraId="4393B457" w14:textId="77777777" w:rsidR="00987E00" w:rsidRDefault="00000000">
      <w:pPr>
        <w:pStyle w:val="1"/>
        <w:rPr>
          <w:lang w:eastAsia="ja-JP"/>
        </w:rPr>
      </w:pPr>
      <w:r>
        <w:rPr>
          <w:lang w:eastAsia="ja-JP"/>
        </w:rPr>
        <w:t>0</w:t>
      </w:r>
      <w:r>
        <w:rPr>
          <w:lang w:eastAsia="ja-JP"/>
        </w:rPr>
        <w:t>．要旨</w:t>
      </w:r>
    </w:p>
    <w:p w14:paraId="147A4640" w14:textId="77777777" w:rsidR="00987E00" w:rsidRDefault="00000000">
      <w:pPr>
        <w:pStyle w:val="21"/>
        <w:rPr>
          <w:lang w:eastAsia="ja-JP"/>
        </w:rPr>
      </w:pPr>
      <w:r>
        <w:rPr>
          <w:lang w:eastAsia="ja-JP"/>
        </w:rPr>
        <w:t>0-1</w:t>
      </w:r>
      <w:r>
        <w:rPr>
          <w:lang w:eastAsia="ja-JP"/>
        </w:rPr>
        <w:t>．一行要旨</w:t>
      </w:r>
    </w:p>
    <w:p w14:paraId="31E5B428" w14:textId="77777777" w:rsidR="00987E00" w:rsidRDefault="00000000">
      <w:pPr>
        <w:rPr>
          <w:lang w:eastAsia="ja-JP"/>
        </w:rPr>
      </w:pPr>
      <w:r>
        <w:rPr>
          <w:lang w:eastAsia="ja-JP"/>
        </w:rPr>
        <w:t>本構想は、首都圏集中に伴う国家リスクに対し、外貨準備の安全性を損なわない原資設計と厳格な停止条件の下で実施する、時限的な国家継続性投資である。</w:t>
      </w:r>
    </w:p>
    <w:p w14:paraId="543D3121" w14:textId="77777777" w:rsidR="00987E00" w:rsidRDefault="00000000">
      <w:pPr>
        <w:pStyle w:val="21"/>
        <w:rPr>
          <w:lang w:eastAsia="ja-JP"/>
        </w:rPr>
      </w:pPr>
      <w:r>
        <w:rPr>
          <w:lang w:eastAsia="ja-JP"/>
        </w:rPr>
        <w:t>0-2</w:t>
      </w:r>
      <w:r>
        <w:rPr>
          <w:lang w:eastAsia="ja-JP"/>
        </w:rPr>
        <w:t>．要点</w:t>
      </w:r>
    </w:p>
    <w:p w14:paraId="4A92AD95" w14:textId="77777777" w:rsidR="00987E00" w:rsidRDefault="00000000">
      <w:pPr>
        <w:rPr>
          <w:lang w:eastAsia="ja-JP"/>
        </w:rPr>
      </w:pPr>
      <w:r>
        <w:rPr>
          <w:b/>
          <w:lang w:eastAsia="ja-JP"/>
        </w:rPr>
        <w:t xml:space="preserve">① 原資設計 </w:t>
      </w:r>
      <w:r>
        <w:rPr>
          <w:lang w:eastAsia="ja-JP"/>
        </w:rPr>
        <w:t>外国為替資金特別会計における実現収益及び満期償還分を活用し、外貨準備資産の市場売却を前提としない。初期規模は3〜5兆円、最終的には最大10兆円を想定する。</w:t>
      </w:r>
    </w:p>
    <w:p w14:paraId="781A0ADC" w14:textId="77777777" w:rsidR="00987E00" w:rsidRDefault="00000000">
      <w:pPr>
        <w:rPr>
          <w:lang w:eastAsia="ja-JP"/>
        </w:rPr>
      </w:pPr>
      <w:r>
        <w:rPr>
          <w:b/>
          <w:lang w:eastAsia="ja-JP"/>
        </w:rPr>
        <w:t xml:space="preserve">② 財政規律 </w:t>
      </w:r>
      <w:r>
        <w:rPr>
          <w:lang w:eastAsia="ja-JP"/>
        </w:rPr>
        <w:t>15年時限、5年レビュー、長期金利3％停止条項、KPI未達時の新規停止、国会統制及び会計検査院監査を制度化する。</w:t>
      </w:r>
    </w:p>
    <w:p w14:paraId="1A1FA30B" w14:textId="77777777" w:rsidR="00987E00" w:rsidRDefault="00000000">
      <w:pPr>
        <w:rPr>
          <w:lang w:eastAsia="ja-JP"/>
        </w:rPr>
      </w:pPr>
      <w:r>
        <w:rPr>
          <w:b/>
          <w:lang w:eastAsia="ja-JP"/>
        </w:rPr>
        <w:t xml:space="preserve">③ 政策効果 </w:t>
      </w:r>
      <w:r>
        <w:rPr>
          <w:lang w:eastAsia="ja-JP"/>
        </w:rPr>
        <w:t>短期的な財政黒字案件ではないが、年間GDP押上げ0.2〜0.4％、年間税収増0.3〜0.7兆円を見込むとともに、災害・物流分断回避に係る保険価値を有する。</w:t>
      </w:r>
    </w:p>
    <w:p w14:paraId="4ABEA00E" w14:textId="77777777" w:rsidR="00987E00" w:rsidRDefault="00000000">
      <w:pPr>
        <w:pStyle w:val="1"/>
        <w:rPr>
          <w:lang w:eastAsia="ja-JP"/>
        </w:rPr>
      </w:pPr>
      <w:r>
        <w:rPr>
          <w:lang w:eastAsia="ja-JP"/>
        </w:rPr>
        <w:t>1</w:t>
      </w:r>
      <w:r>
        <w:rPr>
          <w:lang w:eastAsia="ja-JP"/>
        </w:rPr>
        <w:t>．本構想の位置づけ</w:t>
      </w:r>
    </w:p>
    <w:p w14:paraId="0E0F28BC" w14:textId="77777777" w:rsidR="00987E00" w:rsidRDefault="00000000">
      <w:pPr>
        <w:pStyle w:val="21"/>
        <w:rPr>
          <w:lang w:eastAsia="ja-JP"/>
        </w:rPr>
      </w:pPr>
      <w:r>
        <w:rPr>
          <w:lang w:eastAsia="ja-JP"/>
        </w:rPr>
        <w:t>1-1</w:t>
      </w:r>
      <w:r>
        <w:rPr>
          <w:lang w:eastAsia="ja-JP"/>
        </w:rPr>
        <w:t>．基本認識</w:t>
      </w:r>
    </w:p>
    <w:p w14:paraId="769A5A22" w14:textId="77777777" w:rsidR="00987E00" w:rsidRDefault="00000000">
      <w:pPr>
        <w:rPr>
          <w:lang w:eastAsia="ja-JP"/>
        </w:rPr>
      </w:pPr>
      <w:r>
        <w:rPr>
          <w:lang w:eastAsia="ja-JP"/>
        </w:rPr>
        <w:t>本構想は、首都圏への人口、行政、金融、物流、防衛及び計算基盤の集中に起因する国家的脆弱性に対応するため、北日本に経済、物流、エネルギー及び計算基盤を分散配置し、平時の成長投資と非常時の国家継続性確保を両立させることを目的とするものである。</w:t>
      </w:r>
    </w:p>
    <w:p w14:paraId="1A80C024" w14:textId="77777777" w:rsidR="00987E00" w:rsidRDefault="00000000">
      <w:pPr>
        <w:pStyle w:val="21"/>
        <w:rPr>
          <w:lang w:eastAsia="ja-JP"/>
        </w:rPr>
      </w:pPr>
      <w:r>
        <w:rPr>
          <w:lang w:eastAsia="ja-JP"/>
        </w:rPr>
        <w:t>1-2</w:t>
      </w:r>
      <w:r>
        <w:rPr>
          <w:lang w:eastAsia="ja-JP"/>
        </w:rPr>
        <w:t>．財政上の性格</w:t>
      </w:r>
    </w:p>
    <w:p w14:paraId="5857ED3C" w14:textId="77777777" w:rsidR="00987E00" w:rsidRDefault="00000000">
      <w:pPr>
        <w:rPr>
          <w:lang w:eastAsia="ja-JP"/>
        </w:rPr>
      </w:pPr>
      <w:r>
        <w:rPr>
          <w:lang w:eastAsia="ja-JP"/>
        </w:rPr>
        <w:t>本構想は、短期的な財政黒字化を目的とする事業ではない。</w:t>
      </w:r>
    </w:p>
    <w:p w14:paraId="4034ED90" w14:textId="77777777" w:rsidR="00987E00" w:rsidRDefault="00000000">
      <w:pPr>
        <w:rPr>
          <w:lang w:eastAsia="ja-JP"/>
        </w:rPr>
      </w:pPr>
      <w:r>
        <w:rPr>
          <w:lang w:eastAsia="ja-JP"/>
        </w:rPr>
        <w:t>一方で、恒久的歳出拡大を前提とするものでもなく、国土強靱化、経済規模拡大、国家継続性確保及び国際投資誘致を併せて図る戦略型国家投資として位置づけるものである。</w:t>
      </w:r>
    </w:p>
    <w:p w14:paraId="498A9430" w14:textId="77777777" w:rsidR="00987E00" w:rsidRDefault="00000000">
      <w:pPr>
        <w:pStyle w:val="21"/>
        <w:rPr>
          <w:lang w:eastAsia="ja-JP"/>
        </w:rPr>
      </w:pPr>
      <w:r>
        <w:rPr>
          <w:lang w:eastAsia="ja-JP"/>
        </w:rPr>
        <w:lastRenderedPageBreak/>
        <w:t>1-3</w:t>
      </w:r>
      <w:r>
        <w:rPr>
          <w:lang w:eastAsia="ja-JP"/>
        </w:rPr>
        <w:t>．評価の考え方</w:t>
      </w:r>
    </w:p>
    <w:p w14:paraId="6463DE56" w14:textId="77777777" w:rsidR="00987E00" w:rsidRDefault="00000000">
      <w:pPr>
        <w:rPr>
          <w:lang w:eastAsia="ja-JP"/>
        </w:rPr>
      </w:pPr>
      <w:r>
        <w:rPr>
          <w:lang w:eastAsia="ja-JP"/>
        </w:rPr>
        <w:t>したがって、本構想の評価に当たっては、単年度損益のみで判断するのではなく、時限的投資としての制度規律と、中長期的な回収構造の両面から検討する必要がある。</w:t>
      </w:r>
    </w:p>
    <w:p w14:paraId="66556E78" w14:textId="77777777" w:rsidR="00987E00" w:rsidRDefault="00000000">
      <w:pPr>
        <w:pStyle w:val="1"/>
        <w:rPr>
          <w:lang w:eastAsia="ja-JP"/>
        </w:rPr>
      </w:pPr>
      <w:r>
        <w:rPr>
          <w:lang w:eastAsia="ja-JP"/>
        </w:rPr>
        <w:t>2</w:t>
      </w:r>
      <w:r>
        <w:rPr>
          <w:lang w:eastAsia="ja-JP"/>
        </w:rPr>
        <w:t>．原資設計と市場安定性</w:t>
      </w:r>
    </w:p>
    <w:p w14:paraId="767BDAA4" w14:textId="77777777" w:rsidR="00987E00" w:rsidRDefault="00000000">
      <w:pPr>
        <w:pStyle w:val="21"/>
        <w:rPr>
          <w:lang w:eastAsia="ja-JP"/>
        </w:rPr>
      </w:pPr>
      <w:r>
        <w:rPr>
          <w:lang w:eastAsia="ja-JP"/>
        </w:rPr>
        <w:t>2-1</w:t>
      </w:r>
      <w:r>
        <w:rPr>
          <w:lang w:eastAsia="ja-JP"/>
        </w:rPr>
        <w:t>．原資設計の基本</w:t>
      </w:r>
    </w:p>
    <w:p w14:paraId="087FB8BF" w14:textId="77777777" w:rsidR="00987E00" w:rsidRDefault="00000000">
      <w:pPr>
        <w:rPr>
          <w:lang w:eastAsia="ja-JP"/>
        </w:rPr>
      </w:pPr>
      <w:r>
        <w:rPr>
          <w:lang w:eastAsia="ja-JP"/>
        </w:rPr>
        <w:t>原資設計については、外貨準備資産の市場売却を前提とせず、外国為替資金特別会計における実現収益及び満期償還分を、国会の議決を経た一般会計への繰入を通じて、国内成長投資へ再循環させる方式を基本とする。</w:t>
      </w:r>
    </w:p>
    <w:p w14:paraId="26DF31E8" w14:textId="77777777" w:rsidR="00987E00" w:rsidRDefault="00000000">
      <w:pPr>
        <w:pStyle w:val="21"/>
        <w:rPr>
          <w:lang w:eastAsia="ja-JP"/>
        </w:rPr>
      </w:pPr>
      <w:r>
        <w:rPr>
          <w:lang w:eastAsia="ja-JP"/>
        </w:rPr>
        <w:t>2-2</w:t>
      </w:r>
      <w:r>
        <w:rPr>
          <w:lang w:eastAsia="ja-JP"/>
        </w:rPr>
        <w:t>．基本原則</w:t>
      </w:r>
    </w:p>
    <w:p w14:paraId="5B8A65CD" w14:textId="77777777" w:rsidR="00987E00" w:rsidRDefault="00000000">
      <w:pPr>
        <w:rPr>
          <w:lang w:eastAsia="ja-JP"/>
        </w:rPr>
      </w:pPr>
      <w:r>
        <w:rPr>
          <w:lang w:eastAsia="ja-JP"/>
        </w:rPr>
        <w:t>本構想における原資設計の基本原則は、以下のとおりである。</w:t>
      </w:r>
    </w:p>
    <w:p w14:paraId="67703F1D" w14:textId="77777777" w:rsidR="00987E00" w:rsidRDefault="00000000">
      <w:pPr>
        <w:ind w:left="227"/>
        <w:rPr>
          <w:lang w:eastAsia="ja-JP"/>
        </w:rPr>
      </w:pPr>
      <w:r>
        <w:rPr>
          <w:lang w:eastAsia="ja-JP"/>
        </w:rPr>
        <w:t>（1）外貨準備の安全性を損なわないこと</w:t>
      </w:r>
    </w:p>
    <w:p w14:paraId="58322CFA" w14:textId="77777777" w:rsidR="00987E00" w:rsidRDefault="00000000">
      <w:pPr>
        <w:ind w:left="227"/>
        <w:rPr>
          <w:lang w:eastAsia="ja-JP"/>
        </w:rPr>
      </w:pPr>
      <w:r>
        <w:rPr>
          <w:lang w:eastAsia="ja-JP"/>
        </w:rPr>
        <w:t>（2）市場に不要なショックを与えないこと</w:t>
      </w:r>
    </w:p>
    <w:p w14:paraId="17F44CD0" w14:textId="77777777" w:rsidR="00987E00" w:rsidRDefault="00000000">
      <w:pPr>
        <w:ind w:left="227"/>
        <w:rPr>
          <w:lang w:eastAsia="ja-JP"/>
        </w:rPr>
      </w:pPr>
      <w:r>
        <w:rPr>
          <w:lang w:eastAsia="ja-JP"/>
        </w:rPr>
        <w:t>（3）国会統制の下で透明性を確保すること</w:t>
      </w:r>
    </w:p>
    <w:p w14:paraId="123380D0" w14:textId="77777777" w:rsidR="00987E00" w:rsidRDefault="00000000">
      <w:pPr>
        <w:ind w:left="227"/>
        <w:rPr>
          <w:lang w:eastAsia="ja-JP"/>
        </w:rPr>
      </w:pPr>
      <w:r>
        <w:rPr>
          <w:lang w:eastAsia="ja-JP"/>
        </w:rPr>
        <w:t>（4）外交上の不安定要因を極力生じさせないこと</w:t>
      </w:r>
    </w:p>
    <w:p w14:paraId="5CE15658" w14:textId="77777777" w:rsidR="00987E00" w:rsidRDefault="00000000">
      <w:pPr>
        <w:pStyle w:val="21"/>
        <w:rPr>
          <w:lang w:eastAsia="ja-JP"/>
        </w:rPr>
      </w:pPr>
      <w:r>
        <w:rPr>
          <w:lang w:eastAsia="ja-JP"/>
        </w:rPr>
        <w:t>2-3</w:t>
      </w:r>
      <w:r>
        <w:rPr>
          <w:lang w:eastAsia="ja-JP"/>
        </w:rPr>
        <w:t>．財政上の意味</w:t>
      </w:r>
    </w:p>
    <w:p w14:paraId="4BBA634E" w14:textId="77777777" w:rsidR="00987E00" w:rsidRDefault="00000000">
      <w:pPr>
        <w:rPr>
          <w:lang w:eastAsia="ja-JP"/>
        </w:rPr>
      </w:pPr>
      <w:r>
        <w:rPr>
          <w:lang w:eastAsia="ja-JP"/>
        </w:rPr>
        <w:t>このため、本構想は、通常の恒久歳出拡大型施策とは異なり、財政信認、市場安定性及び対外的安定性に配慮した原資設計を前提とする。</w:t>
      </w:r>
    </w:p>
    <w:p w14:paraId="48809269" w14:textId="77777777" w:rsidR="00987E00" w:rsidRDefault="00000000">
      <w:pPr>
        <w:pStyle w:val="1"/>
        <w:rPr>
          <w:lang w:eastAsia="ja-JP"/>
        </w:rPr>
      </w:pPr>
      <w:r>
        <w:rPr>
          <w:lang w:eastAsia="ja-JP"/>
        </w:rPr>
        <w:t>3</w:t>
      </w:r>
      <w:r>
        <w:rPr>
          <w:lang w:eastAsia="ja-JP"/>
        </w:rPr>
        <w:t>．財政規律と停止条件</w:t>
      </w:r>
    </w:p>
    <w:p w14:paraId="077D8F47" w14:textId="77777777" w:rsidR="00987E00" w:rsidRDefault="00000000">
      <w:pPr>
        <w:pStyle w:val="21"/>
        <w:rPr>
          <w:lang w:eastAsia="ja-JP"/>
        </w:rPr>
      </w:pPr>
      <w:r>
        <w:rPr>
          <w:lang w:eastAsia="ja-JP"/>
        </w:rPr>
        <w:t>3-1</w:t>
      </w:r>
      <w:r>
        <w:rPr>
          <w:lang w:eastAsia="ja-JP"/>
        </w:rPr>
        <w:t>．制度上の歯止め</w:t>
      </w:r>
    </w:p>
    <w:p w14:paraId="76EE550E" w14:textId="77777777" w:rsidR="00987E00" w:rsidRDefault="00000000">
      <w:pPr>
        <w:rPr>
          <w:lang w:eastAsia="ja-JP"/>
        </w:rPr>
      </w:pPr>
      <w:r>
        <w:rPr>
          <w:lang w:eastAsia="ja-JP"/>
        </w:rPr>
        <w:t>本構想は、以下の制度的歯止めを明示的に内蔵する。</w:t>
      </w:r>
    </w:p>
    <w:p w14:paraId="3041F81E" w14:textId="77777777" w:rsidR="00987E00" w:rsidRDefault="00000000">
      <w:pPr>
        <w:ind w:left="227"/>
        <w:rPr>
          <w:lang w:eastAsia="ja-JP"/>
        </w:rPr>
      </w:pPr>
      <w:r>
        <w:rPr>
          <w:lang w:eastAsia="ja-JP"/>
        </w:rPr>
        <w:t>（1）制度の15年時限</w:t>
      </w:r>
    </w:p>
    <w:p w14:paraId="6DD85E74" w14:textId="77777777" w:rsidR="00987E00" w:rsidRDefault="00000000">
      <w:pPr>
        <w:ind w:left="227"/>
        <w:rPr>
          <w:lang w:eastAsia="ja-JP"/>
        </w:rPr>
      </w:pPr>
      <w:r>
        <w:rPr>
          <w:lang w:eastAsia="ja-JP"/>
        </w:rPr>
        <w:t>（2）5年目の中間評価</w:t>
      </w:r>
    </w:p>
    <w:p w14:paraId="20AC73E4" w14:textId="77777777" w:rsidR="00987E00" w:rsidRDefault="00000000">
      <w:pPr>
        <w:ind w:left="227"/>
        <w:rPr>
          <w:lang w:eastAsia="ja-JP"/>
        </w:rPr>
      </w:pPr>
      <w:r>
        <w:rPr>
          <w:lang w:eastAsia="ja-JP"/>
        </w:rPr>
        <w:t>（3）主要KPI未達時の新規出資停止</w:t>
      </w:r>
    </w:p>
    <w:p w14:paraId="12E6AD19" w14:textId="77777777" w:rsidR="00987E00" w:rsidRDefault="00000000">
      <w:pPr>
        <w:ind w:left="227"/>
        <w:rPr>
          <w:lang w:eastAsia="ja-JP"/>
        </w:rPr>
      </w:pPr>
      <w:r>
        <w:rPr>
          <w:lang w:eastAsia="ja-JP"/>
        </w:rPr>
        <w:t>（4）長期国債利回り3％超の継続時における新規拠出停止</w:t>
      </w:r>
    </w:p>
    <w:p w14:paraId="368B658F" w14:textId="77777777" w:rsidR="00987E00" w:rsidRDefault="00000000">
      <w:pPr>
        <w:ind w:left="227"/>
        <w:rPr>
          <w:lang w:eastAsia="ja-JP"/>
        </w:rPr>
      </w:pPr>
      <w:r>
        <w:rPr>
          <w:lang w:eastAsia="ja-JP"/>
        </w:rPr>
        <w:t>（5）国会統制及び会計検査院監査</w:t>
      </w:r>
    </w:p>
    <w:p w14:paraId="1CC3F1BF" w14:textId="77777777" w:rsidR="00987E00" w:rsidRDefault="00000000">
      <w:pPr>
        <w:pStyle w:val="21"/>
        <w:rPr>
          <w:lang w:eastAsia="ja-JP"/>
        </w:rPr>
      </w:pPr>
      <w:r>
        <w:rPr>
          <w:lang w:eastAsia="ja-JP"/>
        </w:rPr>
        <w:lastRenderedPageBreak/>
        <w:t>3-2</w:t>
      </w:r>
      <w:r>
        <w:rPr>
          <w:lang w:eastAsia="ja-JP"/>
        </w:rPr>
        <w:t>．投資判断の分離</w:t>
      </w:r>
    </w:p>
    <w:p w14:paraId="241DFB37" w14:textId="77777777" w:rsidR="00987E00" w:rsidRDefault="00000000">
      <w:pPr>
        <w:rPr>
          <w:lang w:eastAsia="ja-JP"/>
        </w:rPr>
      </w:pPr>
      <w:r>
        <w:rPr>
          <w:lang w:eastAsia="ja-JP"/>
        </w:rPr>
        <w:t>政府は有限責任出資者（LP）として関与し、個別案件の投資判断は専門運用主体（GP）に委ねることを基本とする。これにより、政策判断と個別投資判断を分離し、政治介入の抑制と専門性の確保を図る。</w:t>
      </w:r>
    </w:p>
    <w:p w14:paraId="2D3B23C1" w14:textId="77777777" w:rsidR="00987E00" w:rsidRDefault="00000000">
      <w:pPr>
        <w:pStyle w:val="21"/>
        <w:rPr>
          <w:lang w:eastAsia="ja-JP"/>
        </w:rPr>
      </w:pPr>
      <w:r>
        <w:rPr>
          <w:lang w:eastAsia="ja-JP"/>
        </w:rPr>
        <w:t>3-3</w:t>
      </w:r>
      <w:r>
        <w:rPr>
          <w:lang w:eastAsia="ja-JP"/>
        </w:rPr>
        <w:t>．停止可能性</w:t>
      </w:r>
    </w:p>
    <w:p w14:paraId="50D7747C" w14:textId="77777777" w:rsidR="00987E00" w:rsidRDefault="00000000">
      <w:pPr>
        <w:rPr>
          <w:lang w:eastAsia="ja-JP"/>
        </w:rPr>
      </w:pPr>
      <w:r>
        <w:rPr>
          <w:lang w:eastAsia="ja-JP"/>
        </w:rPr>
        <w:t>本構想は、開始条件のみならず、停止条件及び終了条件をあらかじめ明示することにより、拡張一方向の制度ではなく、停止可能性を内蔵した投資制度として設計する。</w:t>
      </w:r>
    </w:p>
    <w:p w14:paraId="749C9CEC" w14:textId="77777777" w:rsidR="00987E00" w:rsidRDefault="00000000">
      <w:pPr>
        <w:rPr>
          <w:lang w:eastAsia="ja-JP"/>
        </w:rPr>
      </w:pPr>
      <w:r>
        <w:rPr>
          <w:lang w:eastAsia="ja-JP"/>
        </w:rPr>
        <w:br w:type="page"/>
      </w:r>
    </w:p>
    <w:p w14:paraId="373D0ECF" w14:textId="77777777" w:rsidR="00987E00" w:rsidRDefault="00000000">
      <w:pPr>
        <w:pStyle w:val="SmallHeader"/>
        <w:rPr>
          <w:lang w:eastAsia="ja-JP"/>
        </w:rPr>
      </w:pPr>
      <w:r>
        <w:rPr>
          <w:lang w:eastAsia="ja-JP"/>
        </w:rPr>
        <w:lastRenderedPageBreak/>
        <w:t>財務省向け／説明資料（案）</w:t>
      </w:r>
    </w:p>
    <w:p w14:paraId="3C6DE574" w14:textId="77777777" w:rsidR="00987E00" w:rsidRDefault="00000000">
      <w:pPr>
        <w:pStyle w:val="1"/>
        <w:rPr>
          <w:lang w:eastAsia="ja-JP"/>
        </w:rPr>
      </w:pPr>
      <w:r>
        <w:rPr>
          <w:lang w:eastAsia="ja-JP"/>
        </w:rPr>
        <w:t>4</w:t>
      </w:r>
      <w:r>
        <w:rPr>
          <w:lang w:eastAsia="ja-JP"/>
        </w:rPr>
        <w:t>．回収構造と経済効果</w:t>
      </w:r>
    </w:p>
    <w:p w14:paraId="5F086D34" w14:textId="77777777" w:rsidR="00987E00" w:rsidRDefault="00000000">
      <w:pPr>
        <w:pStyle w:val="21"/>
        <w:rPr>
          <w:lang w:eastAsia="ja-JP"/>
        </w:rPr>
      </w:pPr>
      <w:r>
        <w:rPr>
          <w:lang w:eastAsia="ja-JP"/>
        </w:rPr>
        <w:t>4-1</w:t>
      </w:r>
      <w:r>
        <w:rPr>
          <w:lang w:eastAsia="ja-JP"/>
        </w:rPr>
        <w:t>．回収構造の整理</w:t>
      </w:r>
    </w:p>
    <w:p w14:paraId="61524A77" w14:textId="77777777" w:rsidR="00987E00" w:rsidRDefault="00000000">
      <w:pPr>
        <w:rPr>
          <w:lang w:eastAsia="ja-JP"/>
        </w:rPr>
      </w:pPr>
      <w:r>
        <w:rPr>
          <w:lang w:eastAsia="ja-JP"/>
        </w:rPr>
        <w:t>本構想の回収構造は、単一ではなく、以下の三層に分けて把握することが適当である。</w:t>
      </w:r>
    </w:p>
    <w:p w14:paraId="2CFFAA9F" w14:textId="77777777" w:rsidR="00987E00" w:rsidRDefault="00000000">
      <w:pPr>
        <w:ind w:left="227"/>
        <w:rPr>
          <w:lang w:eastAsia="ja-JP"/>
        </w:rPr>
      </w:pPr>
      <w:r>
        <w:rPr>
          <w:lang w:eastAsia="ja-JP"/>
        </w:rPr>
        <w:t>（1）財政回収</w:t>
      </w:r>
    </w:p>
    <w:p w14:paraId="6741651C" w14:textId="77777777" w:rsidR="00987E00" w:rsidRDefault="00000000">
      <w:pPr>
        <w:rPr>
          <w:lang w:eastAsia="ja-JP"/>
        </w:rPr>
      </w:pPr>
      <w:r>
        <w:rPr>
          <w:lang w:eastAsia="ja-JP"/>
        </w:rPr>
        <w:t>税収増加を通じた中長期的回収</w:t>
      </w:r>
    </w:p>
    <w:p w14:paraId="52D0CAB9" w14:textId="77777777" w:rsidR="00987E00" w:rsidRDefault="00000000">
      <w:pPr>
        <w:ind w:left="227"/>
        <w:rPr>
          <w:lang w:eastAsia="ja-JP"/>
        </w:rPr>
      </w:pPr>
      <w:r>
        <w:rPr>
          <w:lang w:eastAsia="ja-JP"/>
        </w:rPr>
        <w:t>（2）経済回収</w:t>
      </w:r>
    </w:p>
    <w:p w14:paraId="2EFDF619" w14:textId="77777777" w:rsidR="00987E00" w:rsidRDefault="00000000">
      <w:pPr>
        <w:rPr>
          <w:lang w:eastAsia="ja-JP"/>
        </w:rPr>
      </w:pPr>
      <w:r>
        <w:rPr>
          <w:lang w:eastAsia="ja-JP"/>
        </w:rPr>
        <w:t>建設期及び稼働期を通じたGDP押上げ、産業集積及び恒常的付加価値増加</w:t>
      </w:r>
    </w:p>
    <w:p w14:paraId="5FD6DD38" w14:textId="77777777" w:rsidR="00987E00" w:rsidRDefault="00000000">
      <w:pPr>
        <w:ind w:left="227"/>
        <w:rPr>
          <w:lang w:eastAsia="ja-JP"/>
        </w:rPr>
      </w:pPr>
      <w:r>
        <w:rPr>
          <w:lang w:eastAsia="ja-JP"/>
        </w:rPr>
        <w:t>（3）民間投資誘発</w:t>
      </w:r>
    </w:p>
    <w:p w14:paraId="50F199C4" w14:textId="77777777" w:rsidR="00987E00" w:rsidRDefault="00000000">
      <w:pPr>
        <w:rPr>
          <w:lang w:eastAsia="ja-JP"/>
        </w:rPr>
      </w:pPr>
      <w:r>
        <w:rPr>
          <w:lang w:eastAsia="ja-JP"/>
        </w:rPr>
        <w:t>公的投資を基点とした民間投資の追加的誘発</w:t>
      </w:r>
    </w:p>
    <w:p w14:paraId="5FA4C7AC" w14:textId="77777777" w:rsidR="00987E00" w:rsidRDefault="00000000">
      <w:pPr>
        <w:rPr>
          <w:lang w:eastAsia="ja-JP"/>
        </w:rPr>
      </w:pPr>
      <w:r>
        <w:rPr>
          <w:lang w:eastAsia="ja-JP"/>
        </w:rPr>
        <w:t>加えて、代表整理値としては、年間GDP押上げ0.2〜0.4％、年間税収増0.3〜0.7兆円を想定しており、本構想は財政回収のみで評価すべき案件ではなく、経済回収及び損失回避効果を含めた複合的評価を要する。</w:t>
      </w:r>
    </w:p>
    <w:p w14:paraId="4F8CF8A9" w14:textId="77777777" w:rsidR="00987E00" w:rsidRDefault="00000000">
      <w:pPr>
        <w:pStyle w:val="21"/>
        <w:rPr>
          <w:lang w:eastAsia="ja-JP"/>
        </w:rPr>
      </w:pPr>
      <w:r>
        <w:rPr>
          <w:lang w:eastAsia="ja-JP"/>
        </w:rPr>
        <w:t>4-2</w:t>
      </w:r>
      <w:r>
        <w:rPr>
          <w:lang w:eastAsia="ja-JP"/>
        </w:rPr>
        <w:t>．基本認識</w:t>
      </w:r>
    </w:p>
    <w:p w14:paraId="6E2C49CD" w14:textId="77777777" w:rsidR="00987E00" w:rsidRDefault="00000000">
      <w:pPr>
        <w:rPr>
          <w:lang w:eastAsia="ja-JP"/>
        </w:rPr>
      </w:pPr>
      <w:r>
        <w:rPr>
          <w:lang w:eastAsia="ja-JP"/>
        </w:rPr>
        <w:t>したがって、本構想は、短期採算型の案件ではなく、財政回収は長期、経済回収は中期として整理すべき案件である。原本においても、財政回収年数は長期、経済回収年数は中期として整理されている。</w:t>
      </w:r>
    </w:p>
    <w:p w14:paraId="34183895" w14:textId="77777777" w:rsidR="00987E00" w:rsidRDefault="00000000">
      <w:pPr>
        <w:pStyle w:val="21"/>
        <w:rPr>
          <w:lang w:eastAsia="ja-JP"/>
        </w:rPr>
      </w:pPr>
      <w:r>
        <w:rPr>
          <w:lang w:eastAsia="ja-JP"/>
        </w:rPr>
        <w:t>4-3</w:t>
      </w:r>
      <w:r>
        <w:rPr>
          <w:lang w:eastAsia="ja-JP"/>
        </w:rPr>
        <w:t>．財務省向けの留意点</w:t>
      </w:r>
    </w:p>
    <w:p w14:paraId="203F7064" w14:textId="77777777" w:rsidR="00987E00" w:rsidRDefault="00000000">
      <w:pPr>
        <w:rPr>
          <w:lang w:eastAsia="ja-JP"/>
        </w:rPr>
      </w:pPr>
      <w:r>
        <w:rPr>
          <w:lang w:eastAsia="ja-JP"/>
        </w:rPr>
        <w:t>重要なのは、短期財政黒字を約束することではなく、長期型案件であることを明示した上で、なお制度的に耐えうる設計を採っている点にある。</w:t>
      </w:r>
    </w:p>
    <w:p w14:paraId="3CC77203" w14:textId="77777777" w:rsidR="00987E00" w:rsidRDefault="00000000">
      <w:pPr>
        <w:pStyle w:val="1"/>
        <w:rPr>
          <w:lang w:eastAsia="ja-JP"/>
        </w:rPr>
      </w:pPr>
      <w:r>
        <w:rPr>
          <w:lang w:eastAsia="ja-JP"/>
        </w:rPr>
        <w:t>5</w:t>
      </w:r>
      <w:r>
        <w:rPr>
          <w:lang w:eastAsia="ja-JP"/>
        </w:rPr>
        <w:t>．保険価値の考え方</w:t>
      </w:r>
    </w:p>
    <w:p w14:paraId="4A6DB415" w14:textId="77777777" w:rsidR="00987E00" w:rsidRDefault="00000000">
      <w:pPr>
        <w:pStyle w:val="21"/>
        <w:rPr>
          <w:lang w:eastAsia="ja-JP"/>
        </w:rPr>
      </w:pPr>
      <w:r>
        <w:rPr>
          <w:lang w:eastAsia="ja-JP"/>
        </w:rPr>
        <w:t>5-1</w:t>
      </w:r>
      <w:r>
        <w:rPr>
          <w:lang w:eastAsia="ja-JP"/>
        </w:rPr>
        <w:t>．基本認識</w:t>
      </w:r>
    </w:p>
    <w:p w14:paraId="6DA25F0B" w14:textId="77777777" w:rsidR="00987E00" w:rsidRDefault="00000000">
      <w:pPr>
        <w:rPr>
          <w:lang w:eastAsia="ja-JP"/>
        </w:rPr>
      </w:pPr>
      <w:r>
        <w:rPr>
          <w:lang w:eastAsia="ja-JP"/>
        </w:rPr>
        <w:t>本構想の中心的論点は、成長押上げ効果のみではなく、国家的損失の回避にある。すなわち、首都直下地震、南海トラフ巨大地震、広域物流停止その他の複合リスクに対し、機能分散と冗長化により、国家機能停止の確率及び損失規模を低減することを目的とする。</w:t>
      </w:r>
    </w:p>
    <w:p w14:paraId="09252BE6" w14:textId="77777777" w:rsidR="00987E00" w:rsidRDefault="00000000">
      <w:pPr>
        <w:pStyle w:val="21"/>
        <w:rPr>
          <w:lang w:eastAsia="ja-JP"/>
        </w:rPr>
      </w:pPr>
      <w:r>
        <w:rPr>
          <w:lang w:eastAsia="ja-JP"/>
        </w:rPr>
        <w:t>5-2</w:t>
      </w:r>
      <w:r>
        <w:rPr>
          <w:lang w:eastAsia="ja-JP"/>
        </w:rPr>
        <w:t>．保険価値としての整理</w:t>
      </w:r>
    </w:p>
    <w:p w14:paraId="7211D69E" w14:textId="77777777" w:rsidR="00987E00" w:rsidRDefault="00000000">
      <w:pPr>
        <w:rPr>
          <w:lang w:eastAsia="ja-JP"/>
        </w:rPr>
      </w:pPr>
      <w:r>
        <w:rPr>
          <w:lang w:eastAsia="ja-JP"/>
        </w:rPr>
        <w:t>このため、本構想は、単なる経済政策ではなく、保険価値を有する投資として整理することができる。原本では、首都直下地震、南海トラフ巨大地震及び複合物流停止を想定イベントとして、冗長化による損失削減効果を現在価値ベースで評価し、保険価値NPVは投資額を上回り得る可能性があるとの考え方を提示している。したがって、災害、物流分断及び国家機能分断による期待</w:t>
      </w:r>
      <w:r>
        <w:rPr>
          <w:lang w:eastAsia="ja-JP"/>
        </w:rPr>
        <w:lastRenderedPageBreak/>
        <w:t>損失を、分散投資によって部分的にでも削減できる場合、その損失回避価値は財務評価上も重要な意味を持つ。</w:t>
      </w:r>
    </w:p>
    <w:p w14:paraId="316350DA" w14:textId="77777777" w:rsidR="00987E00" w:rsidRDefault="00000000">
      <w:pPr>
        <w:pStyle w:val="21"/>
        <w:rPr>
          <w:lang w:eastAsia="ja-JP"/>
        </w:rPr>
      </w:pPr>
      <w:r>
        <w:rPr>
          <w:lang w:eastAsia="ja-JP"/>
        </w:rPr>
        <w:t>5-3</w:t>
      </w:r>
      <w:r>
        <w:rPr>
          <w:lang w:eastAsia="ja-JP"/>
        </w:rPr>
        <w:t>．説明上の重点</w:t>
      </w:r>
    </w:p>
    <w:p w14:paraId="4A2192F0" w14:textId="77777777" w:rsidR="00987E00" w:rsidRDefault="00000000">
      <w:pPr>
        <w:rPr>
          <w:lang w:eastAsia="ja-JP"/>
        </w:rPr>
      </w:pPr>
      <w:r>
        <w:rPr>
          <w:lang w:eastAsia="ja-JP"/>
        </w:rPr>
        <w:t>財務省向け説明においては、成長期待を過度に前面に出すのではなく、まずこの損失回避機能を主論点として位置づけることが適当である。</w:t>
      </w:r>
    </w:p>
    <w:p w14:paraId="050ECF91" w14:textId="77777777" w:rsidR="00987E00" w:rsidRDefault="00000000">
      <w:pPr>
        <w:pStyle w:val="1"/>
        <w:rPr>
          <w:lang w:eastAsia="ja-JP"/>
        </w:rPr>
      </w:pPr>
      <w:r>
        <w:rPr>
          <w:lang w:eastAsia="ja-JP"/>
        </w:rPr>
        <w:t>6</w:t>
      </w:r>
      <w:r>
        <w:rPr>
          <w:lang w:eastAsia="ja-JP"/>
        </w:rPr>
        <w:t>．債務持続性との関係</w:t>
      </w:r>
    </w:p>
    <w:p w14:paraId="243DA101" w14:textId="77777777" w:rsidR="00987E00" w:rsidRDefault="00000000">
      <w:pPr>
        <w:pStyle w:val="21"/>
        <w:rPr>
          <w:lang w:eastAsia="ja-JP"/>
        </w:rPr>
      </w:pPr>
      <w:r>
        <w:rPr>
          <w:lang w:eastAsia="ja-JP"/>
        </w:rPr>
        <w:t>6-1</w:t>
      </w:r>
      <w:r>
        <w:rPr>
          <w:lang w:eastAsia="ja-JP"/>
        </w:rPr>
        <w:t>．基本整理</w:t>
      </w:r>
    </w:p>
    <w:p w14:paraId="6B566719" w14:textId="77777777" w:rsidR="00987E00" w:rsidRDefault="00000000">
      <w:pPr>
        <w:rPr>
          <w:lang w:eastAsia="ja-JP"/>
        </w:rPr>
      </w:pPr>
      <w:r>
        <w:rPr>
          <w:lang w:eastAsia="ja-JP"/>
        </w:rPr>
        <w:t>本構想は、拡張的な恒久歳出ではなく、停止可能性を内蔵した国家投資として設計する。</w:t>
      </w:r>
    </w:p>
    <w:p w14:paraId="6CBE0BB6" w14:textId="77777777" w:rsidR="00987E00" w:rsidRDefault="00000000">
      <w:pPr>
        <w:pStyle w:val="21"/>
        <w:rPr>
          <w:lang w:eastAsia="ja-JP"/>
        </w:rPr>
      </w:pPr>
      <w:r>
        <w:rPr>
          <w:lang w:eastAsia="ja-JP"/>
        </w:rPr>
        <w:t>6-2</w:t>
      </w:r>
      <w:r>
        <w:rPr>
          <w:lang w:eastAsia="ja-JP"/>
        </w:rPr>
        <w:t>．運用の考え方</w:t>
      </w:r>
    </w:p>
    <w:p w14:paraId="51D43908" w14:textId="77777777" w:rsidR="00987E00" w:rsidRDefault="00000000">
      <w:pPr>
        <w:rPr>
          <w:lang w:eastAsia="ja-JP"/>
        </w:rPr>
      </w:pPr>
      <w:r>
        <w:rPr>
          <w:lang w:eastAsia="ja-JP"/>
        </w:rPr>
        <w:t>通常時には、成長誘発効果が金利負担を上回る範囲で運用を行い、金利上昇局面においては停止条項を発動することで、投資拡大を抑制する。あわせて、本構想は、債務持続性に関する国際的な基本的考え方も踏まえ、成長率が金利を上回る局面では持続性を確保し、金利上昇局面では制度上の歯止めにより投資拡大を抑制する構造として整理する。</w:t>
      </w:r>
    </w:p>
    <w:p w14:paraId="559CC1BF" w14:textId="77777777" w:rsidR="00987E00" w:rsidRDefault="00000000">
      <w:pPr>
        <w:pStyle w:val="21"/>
        <w:rPr>
          <w:lang w:eastAsia="ja-JP"/>
        </w:rPr>
      </w:pPr>
      <w:r>
        <w:rPr>
          <w:lang w:eastAsia="ja-JP"/>
        </w:rPr>
        <w:t>6-3</w:t>
      </w:r>
      <w:r>
        <w:rPr>
          <w:lang w:eastAsia="ja-JP"/>
        </w:rPr>
        <w:t>．制御型スキームとしての位置づけ</w:t>
      </w:r>
    </w:p>
    <w:p w14:paraId="79C18E0E" w14:textId="77777777" w:rsidR="00987E00" w:rsidRDefault="00000000">
      <w:pPr>
        <w:rPr>
          <w:lang w:eastAsia="ja-JP"/>
        </w:rPr>
      </w:pPr>
      <w:r>
        <w:rPr>
          <w:lang w:eastAsia="ja-JP"/>
        </w:rPr>
        <w:t>したがって、本構想は、</w:t>
      </w:r>
    </w:p>
    <w:p w14:paraId="1173AED8" w14:textId="77777777" w:rsidR="00987E00" w:rsidRDefault="00000000">
      <w:pPr>
        <w:ind w:left="227"/>
        <w:rPr>
          <w:lang w:eastAsia="ja-JP"/>
        </w:rPr>
      </w:pPr>
      <w:r>
        <w:rPr>
          <w:lang w:eastAsia="ja-JP"/>
        </w:rPr>
        <w:t>（1）時限</w:t>
      </w:r>
    </w:p>
    <w:p w14:paraId="1E073C68" w14:textId="77777777" w:rsidR="00987E00" w:rsidRDefault="00000000">
      <w:pPr>
        <w:ind w:left="227"/>
        <w:rPr>
          <w:lang w:eastAsia="ja-JP"/>
        </w:rPr>
      </w:pPr>
      <w:r>
        <w:rPr>
          <w:lang w:eastAsia="ja-JP"/>
        </w:rPr>
        <w:t>（2）レビュー</w:t>
      </w:r>
    </w:p>
    <w:p w14:paraId="16A53481" w14:textId="77777777" w:rsidR="00987E00" w:rsidRDefault="00000000">
      <w:pPr>
        <w:ind w:left="227"/>
        <w:rPr>
          <w:lang w:eastAsia="ja-JP"/>
        </w:rPr>
      </w:pPr>
      <w:r>
        <w:rPr>
          <w:lang w:eastAsia="ja-JP"/>
        </w:rPr>
        <w:t>（3）停止条件</w:t>
      </w:r>
    </w:p>
    <w:p w14:paraId="5ADC00B8" w14:textId="77777777" w:rsidR="00987E00" w:rsidRDefault="00000000">
      <w:pPr>
        <w:ind w:left="227"/>
        <w:rPr>
          <w:lang w:eastAsia="ja-JP"/>
        </w:rPr>
      </w:pPr>
      <w:r>
        <w:rPr>
          <w:lang w:eastAsia="ja-JP"/>
        </w:rPr>
        <w:t>（4）投資対象限定</w:t>
      </w:r>
    </w:p>
    <w:p w14:paraId="4514741A" w14:textId="77777777" w:rsidR="00987E00" w:rsidRDefault="00000000">
      <w:pPr>
        <w:ind w:left="227"/>
        <w:rPr>
          <w:lang w:eastAsia="ja-JP"/>
        </w:rPr>
      </w:pPr>
      <w:r>
        <w:rPr>
          <w:lang w:eastAsia="ja-JP"/>
        </w:rPr>
        <w:t>（5）監査及び報告義務</w:t>
      </w:r>
    </w:p>
    <w:p w14:paraId="3CB6DA71" w14:textId="77777777" w:rsidR="00987E00" w:rsidRDefault="00000000">
      <w:pPr>
        <w:rPr>
          <w:lang w:eastAsia="ja-JP"/>
        </w:rPr>
      </w:pPr>
      <w:r>
        <w:rPr>
          <w:lang w:eastAsia="ja-JP"/>
        </w:rPr>
        <w:t>を組み合わせた条件付き・制御型の国家投資スキームとして整理することが適当である。</w:t>
      </w:r>
    </w:p>
    <w:p w14:paraId="4DE70874" w14:textId="77777777" w:rsidR="00987E00" w:rsidRDefault="00000000">
      <w:pPr>
        <w:pStyle w:val="1"/>
        <w:rPr>
          <w:lang w:eastAsia="ja-JP"/>
        </w:rPr>
      </w:pPr>
      <w:r>
        <w:rPr>
          <w:lang w:eastAsia="ja-JP"/>
        </w:rPr>
        <w:t>7</w:t>
      </w:r>
      <w:r>
        <w:rPr>
          <w:lang w:eastAsia="ja-JP"/>
        </w:rPr>
        <w:t>．制度上の整理</w:t>
      </w:r>
    </w:p>
    <w:p w14:paraId="333C1718" w14:textId="77777777" w:rsidR="00987E00" w:rsidRDefault="00000000">
      <w:pPr>
        <w:pStyle w:val="21"/>
        <w:rPr>
          <w:lang w:eastAsia="ja-JP"/>
        </w:rPr>
      </w:pPr>
      <w:r>
        <w:rPr>
          <w:lang w:eastAsia="ja-JP"/>
        </w:rPr>
        <w:t>7-1</w:t>
      </w:r>
      <w:r>
        <w:rPr>
          <w:lang w:eastAsia="ja-JP"/>
        </w:rPr>
        <w:t>．投資対象</w:t>
      </w:r>
    </w:p>
    <w:p w14:paraId="234EBC1A" w14:textId="77777777" w:rsidR="00987E00" w:rsidRDefault="00000000">
      <w:pPr>
        <w:rPr>
          <w:lang w:eastAsia="ja-JP"/>
        </w:rPr>
      </w:pPr>
      <w:r>
        <w:rPr>
          <w:lang w:eastAsia="ja-JP"/>
        </w:rPr>
        <w:t>基金の対象事業は、以下の分野に限定する。</w:t>
      </w:r>
    </w:p>
    <w:p w14:paraId="1E92F6C2" w14:textId="77777777" w:rsidR="00987E00" w:rsidRDefault="00000000">
      <w:pPr>
        <w:ind w:left="227"/>
        <w:rPr>
          <w:lang w:eastAsia="ja-JP"/>
        </w:rPr>
      </w:pPr>
      <w:r>
        <w:rPr>
          <w:lang w:eastAsia="ja-JP"/>
        </w:rPr>
        <w:t>（1）エネルギー基盤</w:t>
      </w:r>
    </w:p>
    <w:p w14:paraId="071124A1" w14:textId="77777777" w:rsidR="00987E00" w:rsidRDefault="00000000">
      <w:pPr>
        <w:ind w:left="227"/>
        <w:rPr>
          <w:lang w:eastAsia="ja-JP"/>
        </w:rPr>
      </w:pPr>
      <w:r>
        <w:rPr>
          <w:lang w:eastAsia="ja-JP"/>
        </w:rPr>
        <w:t>（2）半導体後工程及び関連産業基盤</w:t>
      </w:r>
    </w:p>
    <w:p w14:paraId="37B6F826" w14:textId="77777777" w:rsidR="00987E00" w:rsidRDefault="00000000">
      <w:pPr>
        <w:ind w:left="227"/>
        <w:rPr>
          <w:lang w:eastAsia="ja-JP"/>
        </w:rPr>
      </w:pPr>
      <w:r>
        <w:rPr>
          <w:lang w:eastAsia="ja-JP"/>
        </w:rPr>
        <w:t>（3）港湾及び空港機能強化</w:t>
      </w:r>
    </w:p>
    <w:p w14:paraId="015AA479" w14:textId="77777777" w:rsidR="00987E00" w:rsidRDefault="00000000">
      <w:pPr>
        <w:ind w:left="227"/>
        <w:rPr>
          <w:lang w:eastAsia="ja-JP"/>
        </w:rPr>
      </w:pPr>
      <w:r>
        <w:rPr>
          <w:lang w:eastAsia="ja-JP"/>
        </w:rPr>
        <w:t>（4）計算資本及びデータ基盤整備</w:t>
      </w:r>
    </w:p>
    <w:p w14:paraId="0D646132" w14:textId="77777777" w:rsidR="00987E00" w:rsidRDefault="00000000">
      <w:pPr>
        <w:ind w:left="227"/>
      </w:pPr>
      <w:r>
        <w:lastRenderedPageBreak/>
        <w:t>（5）国際共同投資事業</w:t>
      </w:r>
    </w:p>
    <w:p w14:paraId="5EF16739" w14:textId="77777777" w:rsidR="00987E00" w:rsidRDefault="00000000">
      <w:pPr>
        <w:pStyle w:val="21"/>
      </w:pPr>
      <w:r>
        <w:t>7-2</w:t>
      </w:r>
      <w:r>
        <w:t>．対象外事項</w:t>
      </w:r>
    </w:p>
    <w:p w14:paraId="6E11D38D" w14:textId="77777777" w:rsidR="00987E00" w:rsidRDefault="00000000">
      <w:pPr>
        <w:rPr>
          <w:lang w:eastAsia="ja-JP"/>
        </w:rPr>
      </w:pPr>
      <w:r>
        <w:rPr>
          <w:lang w:eastAsia="ja-JP"/>
        </w:rPr>
        <w:t>防衛装備の取得その他軍事目的の投資は対象外とする。</w:t>
      </w:r>
    </w:p>
    <w:p w14:paraId="3CEDC8A6" w14:textId="77777777" w:rsidR="00987E00" w:rsidRDefault="00000000">
      <w:pPr>
        <w:pStyle w:val="21"/>
        <w:rPr>
          <w:lang w:eastAsia="ja-JP"/>
        </w:rPr>
      </w:pPr>
      <w:r>
        <w:rPr>
          <w:lang w:eastAsia="ja-JP"/>
        </w:rPr>
        <w:t>7-3</w:t>
      </w:r>
      <w:r>
        <w:rPr>
          <w:lang w:eastAsia="ja-JP"/>
        </w:rPr>
        <w:t>．制度の閉じ方</w:t>
      </w:r>
    </w:p>
    <w:p w14:paraId="09376F09" w14:textId="77777777" w:rsidR="00987E00" w:rsidRDefault="00000000">
      <w:pPr>
        <w:rPr>
          <w:lang w:eastAsia="ja-JP"/>
        </w:rPr>
      </w:pPr>
      <w:r>
        <w:rPr>
          <w:lang w:eastAsia="ja-JP"/>
        </w:rPr>
        <w:t>制度の閉じ方として、存続期間満了時の解散、残余財産の一般会計帰属、年次報告義務等を明示し、開始時点から終了時点までの整合性を確保する。</w:t>
      </w:r>
    </w:p>
    <w:p w14:paraId="2EAB60DF" w14:textId="77777777" w:rsidR="00987E00" w:rsidRDefault="00000000">
      <w:pPr>
        <w:pStyle w:val="1"/>
        <w:rPr>
          <w:lang w:eastAsia="ja-JP"/>
        </w:rPr>
      </w:pPr>
      <w:r>
        <w:rPr>
          <w:lang w:eastAsia="ja-JP"/>
        </w:rPr>
        <w:t>8</w:t>
      </w:r>
      <w:r>
        <w:rPr>
          <w:lang w:eastAsia="ja-JP"/>
        </w:rPr>
        <w:t>．結論</w:t>
      </w:r>
    </w:p>
    <w:p w14:paraId="7FB0121D" w14:textId="77777777" w:rsidR="00987E00" w:rsidRDefault="00000000">
      <w:pPr>
        <w:rPr>
          <w:lang w:eastAsia="ja-JP"/>
        </w:rPr>
      </w:pPr>
      <w:r>
        <w:rPr>
          <w:lang w:eastAsia="ja-JP"/>
        </w:rPr>
        <w:t>以上のとおり、本構想は、地方振興名目の恒久的歳出拡大ではなく、首都圏集中リスクに対する分散投資を、外貨準備の安全性に配慮した原資設計、時限措置、レビュー、停止条項、国会統制、監査、民間投資誘発及び保険価値評価と組み合わせて実施しようとするものである。代表整理値としては、初期規模3〜5兆円、最終的に最大10兆円、年間GDP押上げ0.2〜0.4％、年間税収増0.3〜0.7兆円を想定しており、財務省向けにおいては、成長期待のみを前面に出すのではなく、市場安定性、財政規律、停止可能性、損失回避効果及び制度整合性を中心に整理することが適当である。</w:t>
      </w:r>
    </w:p>
    <w:p w14:paraId="20B3F133" w14:textId="77777777" w:rsidR="00987E00" w:rsidRDefault="00000000">
      <w:pPr>
        <w:pStyle w:val="Note"/>
        <w:rPr>
          <w:lang w:eastAsia="ja-JP"/>
        </w:rPr>
      </w:pPr>
      <w:r>
        <w:rPr>
          <w:lang w:eastAsia="ja-JP"/>
        </w:rPr>
        <w:t>注）本資料は説明用整理案であり、記載数値は今後、公表統計、政府資料その他の公式値に基づき再検証を行う前提である。</w:t>
      </w:r>
    </w:p>
    <w:sectPr w:rsidR="00987E00" w:rsidSect="00034616">
      <w:footerReference w:type="default" r:id="rId8"/>
      <w:pgSz w:w="12240" w:h="15840"/>
      <w:pgMar w:top="1417" w:right="1531" w:bottom="1417"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E0DC4" w14:textId="77777777" w:rsidR="00FE7602" w:rsidRDefault="00FE7602">
      <w:pPr>
        <w:spacing w:after="0" w:line="240" w:lineRule="auto"/>
      </w:pPr>
      <w:r>
        <w:separator/>
      </w:r>
    </w:p>
  </w:endnote>
  <w:endnote w:type="continuationSeparator" w:id="0">
    <w:p w14:paraId="70281710" w14:textId="77777777" w:rsidR="00FE7602" w:rsidRDefault="00FE7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B6BF2" w14:textId="77777777" w:rsidR="00987E00" w:rsidRDefault="00000000">
    <w:pPr>
      <w:pStyle w:val="a7"/>
      <w:jc w:val="center"/>
    </w:pPr>
    <w:r>
      <w:fldChar w:fldCharType="begin"/>
    </w:r>
    <w:r>
      <w:instrText>PAGE</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EAFB2" w14:textId="77777777" w:rsidR="00FE7602" w:rsidRDefault="00FE7602">
      <w:pPr>
        <w:spacing w:after="0" w:line="240" w:lineRule="auto"/>
      </w:pPr>
      <w:r>
        <w:separator/>
      </w:r>
    </w:p>
  </w:footnote>
  <w:footnote w:type="continuationSeparator" w:id="0">
    <w:p w14:paraId="67121239" w14:textId="77777777" w:rsidR="00FE7602" w:rsidRDefault="00FE7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639924252">
    <w:abstractNumId w:val="8"/>
  </w:num>
  <w:num w:numId="2" w16cid:durableId="9138678">
    <w:abstractNumId w:val="6"/>
  </w:num>
  <w:num w:numId="3" w16cid:durableId="688415616">
    <w:abstractNumId w:val="5"/>
  </w:num>
  <w:num w:numId="4" w16cid:durableId="1463574850">
    <w:abstractNumId w:val="4"/>
  </w:num>
  <w:num w:numId="5" w16cid:durableId="1928610456">
    <w:abstractNumId w:val="7"/>
  </w:num>
  <w:num w:numId="6" w16cid:durableId="1896624572">
    <w:abstractNumId w:val="3"/>
  </w:num>
  <w:num w:numId="7" w16cid:durableId="1562055883">
    <w:abstractNumId w:val="2"/>
  </w:num>
  <w:num w:numId="8" w16cid:durableId="960262902">
    <w:abstractNumId w:val="1"/>
  </w:num>
  <w:num w:numId="9" w16cid:durableId="810899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C7587"/>
    <w:rsid w:val="00987E00"/>
    <w:rsid w:val="00AA1D8D"/>
    <w:rsid w:val="00B47730"/>
    <w:rsid w:val="00CB0664"/>
    <w:rsid w:val="00FC693F"/>
    <w:rsid w:val="00FE0CFA"/>
    <w:rsid w:val="00FE76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C265E5B"/>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line="288" w:lineRule="auto"/>
    </w:pPr>
    <w:rPr>
      <w:rFonts w:ascii="ＭＳ 明朝" w:eastAsia="ＭＳ 明朝" w:hAnsi="ＭＳ 明朝"/>
      <w:sz w:val="21"/>
    </w:rPr>
  </w:style>
  <w:style w:type="paragraph" w:styleId="1">
    <w:name w:val="heading 1"/>
    <w:basedOn w:val="a1"/>
    <w:next w:val="a1"/>
    <w:link w:val="10"/>
    <w:uiPriority w:val="9"/>
    <w:qFormat/>
    <w:rsid w:val="00FC693F"/>
    <w:pPr>
      <w:keepNext/>
      <w:keepLines/>
      <w:spacing w:before="200" w:after="8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120" w:after="4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basedOn w:val="a1"/>
    <w:pPr>
      <w:spacing w:after="120"/>
      <w:jc w:val="center"/>
    </w:pPr>
    <w:rPr>
      <w:b/>
      <w:sz w:val="32"/>
    </w:rPr>
  </w:style>
  <w:style w:type="paragraph" w:customStyle="1" w:styleId="DocSubtitle">
    <w:name w:val="DocSubtitle"/>
    <w:basedOn w:val="a1"/>
    <w:pPr>
      <w:spacing w:after="280"/>
      <w:jc w:val="center"/>
    </w:pPr>
    <w:rPr>
      <w:b/>
      <w:sz w:val="24"/>
    </w:rPr>
  </w:style>
  <w:style w:type="paragraph" w:customStyle="1" w:styleId="SmallHeader">
    <w:name w:val="SmallHeader"/>
    <w:basedOn w:val="a1"/>
    <w:pPr>
      <w:spacing w:after="160"/>
      <w:jc w:val="right"/>
    </w:pPr>
    <w:rPr>
      <w:sz w:val="18"/>
    </w:rPr>
  </w:style>
  <w:style w:type="paragraph" w:customStyle="1" w:styleId="Note">
    <w:name w:val="Note"/>
    <w:basedOn w:val="a1"/>
    <w:pPr>
      <w:spacing w:before="120"/>
    </w:pPr>
    <w:rPr>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2026-04-13T10:47:00Z</dcterms:modified>
  <cp:category/>
</cp:coreProperties>
</file>