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94B6E" w14:textId="77777777" w:rsidR="005B5E3B" w:rsidRDefault="005B5E3B">
      <w:pPr>
        <w:spacing w:after="60" w:line="360" w:lineRule="exact"/>
        <w:jc w:val="right"/>
        <w:rPr>
          <w:sz w:val="18"/>
          <w:lang w:eastAsia="ja-JP"/>
        </w:rPr>
      </w:pPr>
    </w:p>
    <w:p w14:paraId="5275131D" w14:textId="77777777" w:rsidR="005B5E3B" w:rsidRDefault="005B5E3B">
      <w:pPr>
        <w:spacing w:after="60" w:line="360" w:lineRule="exact"/>
        <w:jc w:val="right"/>
        <w:rPr>
          <w:sz w:val="18"/>
          <w:lang w:eastAsia="ja-JP"/>
        </w:rPr>
      </w:pPr>
    </w:p>
    <w:p w14:paraId="5ACFC5FB" w14:textId="77777777" w:rsidR="005B5E3B" w:rsidRDefault="005B5E3B">
      <w:pPr>
        <w:spacing w:after="60" w:line="360" w:lineRule="exact"/>
        <w:jc w:val="right"/>
        <w:rPr>
          <w:sz w:val="18"/>
          <w:lang w:eastAsia="ja-JP"/>
        </w:rPr>
      </w:pPr>
    </w:p>
    <w:p w14:paraId="2934C21C" w14:textId="77777777" w:rsidR="005B5E3B" w:rsidRDefault="005B5E3B">
      <w:pPr>
        <w:spacing w:after="60" w:line="360" w:lineRule="exact"/>
        <w:jc w:val="right"/>
        <w:rPr>
          <w:sz w:val="18"/>
          <w:lang w:eastAsia="ja-JP"/>
        </w:rPr>
      </w:pPr>
    </w:p>
    <w:p w14:paraId="34216344" w14:textId="77777777" w:rsidR="005B5E3B" w:rsidRPr="007C7587" w:rsidRDefault="005B5E3B" w:rsidP="005B5E3B">
      <w:pPr>
        <w:pStyle w:val="SmallHeader"/>
        <w:jc w:val="center"/>
        <w:rPr>
          <w:sz w:val="36"/>
          <w:szCs w:val="48"/>
          <w:lang w:eastAsia="ja-JP"/>
        </w:rPr>
      </w:pPr>
      <w:r w:rsidRPr="007C7587">
        <w:rPr>
          <w:rFonts w:hint="eastAsia"/>
          <w:sz w:val="36"/>
          <w:szCs w:val="48"/>
          <w:lang w:eastAsia="ja-JP"/>
        </w:rPr>
        <w:t>北日本戦略再設計構想</w:t>
      </w:r>
    </w:p>
    <w:p w14:paraId="5FAAF05F" w14:textId="77777777" w:rsidR="005B5E3B" w:rsidRPr="005B5E3B" w:rsidRDefault="005B5E3B" w:rsidP="005B5E3B">
      <w:pPr>
        <w:pStyle w:val="SmallHeader"/>
        <w:jc w:val="center"/>
        <w:rPr>
          <w:sz w:val="36"/>
          <w:szCs w:val="48"/>
          <w:lang w:eastAsia="ja-JP"/>
        </w:rPr>
      </w:pPr>
      <w:r w:rsidRPr="005B5E3B">
        <w:rPr>
          <w:rFonts w:hint="eastAsia"/>
          <w:sz w:val="36"/>
          <w:szCs w:val="48"/>
          <w:lang w:eastAsia="ja-JP"/>
        </w:rPr>
        <w:t>【経済産業省向け説明資料】</w:t>
      </w:r>
    </w:p>
    <w:p w14:paraId="56463FA2" w14:textId="77777777" w:rsidR="005B5E3B" w:rsidRDefault="005B5E3B" w:rsidP="005B5E3B">
      <w:pPr>
        <w:pStyle w:val="SmallHeader"/>
        <w:jc w:val="center"/>
        <w:rPr>
          <w:sz w:val="36"/>
          <w:szCs w:val="48"/>
          <w:lang w:eastAsia="ja-JP"/>
        </w:rPr>
      </w:pPr>
      <w:r w:rsidRPr="005B5E3B">
        <w:rPr>
          <w:rFonts w:hint="eastAsia"/>
          <w:sz w:val="36"/>
          <w:szCs w:val="48"/>
          <w:lang w:eastAsia="ja-JP"/>
        </w:rPr>
        <w:t>産業立地・エネルギー基盤</w:t>
      </w:r>
    </w:p>
    <w:p w14:paraId="4C58E50D" w14:textId="5A17989A" w:rsidR="005B5E3B" w:rsidRPr="007C7587" w:rsidRDefault="005B5E3B" w:rsidP="005B5E3B">
      <w:pPr>
        <w:pStyle w:val="SmallHeader"/>
        <w:jc w:val="center"/>
        <w:rPr>
          <w:sz w:val="36"/>
          <w:szCs w:val="48"/>
          <w:lang w:eastAsia="ja-JP"/>
        </w:rPr>
      </w:pPr>
      <w:r w:rsidRPr="005B5E3B">
        <w:rPr>
          <w:rFonts w:hint="eastAsia"/>
          <w:sz w:val="36"/>
          <w:szCs w:val="48"/>
          <w:lang w:eastAsia="ja-JP"/>
        </w:rPr>
        <w:t>半導体戦略に関する説明資料</w:t>
      </w:r>
    </w:p>
    <w:p w14:paraId="095802A9" w14:textId="77777777" w:rsidR="005B5E3B" w:rsidRDefault="005B5E3B" w:rsidP="005B5E3B">
      <w:pPr>
        <w:pStyle w:val="SmallHeader"/>
        <w:jc w:val="center"/>
        <w:rPr>
          <w:lang w:eastAsia="ja-JP"/>
        </w:rPr>
      </w:pPr>
    </w:p>
    <w:p w14:paraId="106AC632" w14:textId="77777777" w:rsidR="005B5E3B" w:rsidRDefault="005B5E3B" w:rsidP="005B5E3B">
      <w:pPr>
        <w:pStyle w:val="SmallHeader"/>
        <w:jc w:val="center"/>
        <w:rPr>
          <w:lang w:eastAsia="ja-JP"/>
        </w:rPr>
      </w:pPr>
    </w:p>
    <w:p w14:paraId="6B421380" w14:textId="77777777" w:rsidR="005B5E3B" w:rsidRDefault="005B5E3B" w:rsidP="005B5E3B">
      <w:pPr>
        <w:pStyle w:val="SmallHeader"/>
        <w:jc w:val="center"/>
        <w:rPr>
          <w:lang w:eastAsia="ja-JP"/>
        </w:rPr>
      </w:pPr>
    </w:p>
    <w:p w14:paraId="60F2FD33" w14:textId="77777777" w:rsidR="005B5E3B" w:rsidRDefault="005B5E3B" w:rsidP="005B5E3B">
      <w:pPr>
        <w:pStyle w:val="SmallHeader"/>
        <w:jc w:val="center"/>
        <w:rPr>
          <w:rFonts w:hint="eastAsia"/>
          <w:lang w:eastAsia="ja-JP"/>
        </w:rPr>
      </w:pPr>
    </w:p>
    <w:p w14:paraId="64E8765A" w14:textId="77777777" w:rsidR="005B5E3B" w:rsidRPr="007C7587" w:rsidRDefault="005B5E3B" w:rsidP="005B5E3B">
      <w:pPr>
        <w:pStyle w:val="SmallHeader"/>
        <w:jc w:val="center"/>
        <w:rPr>
          <w:sz w:val="22"/>
          <w:szCs w:val="32"/>
          <w:lang w:eastAsia="ja-JP"/>
        </w:rPr>
      </w:pPr>
      <w:r w:rsidRPr="007C7587">
        <w:rPr>
          <w:rFonts w:hint="eastAsia"/>
          <w:sz w:val="22"/>
          <w:szCs w:val="32"/>
          <w:lang w:eastAsia="ja-JP"/>
        </w:rPr>
        <w:t>提出者：新岡</w:t>
      </w:r>
      <w:r w:rsidRPr="007C7587">
        <w:rPr>
          <w:sz w:val="22"/>
          <w:szCs w:val="32"/>
          <w:lang w:eastAsia="ja-JP"/>
        </w:rPr>
        <w:t xml:space="preserve"> 昌心</w:t>
      </w:r>
    </w:p>
    <w:p w14:paraId="451138F5" w14:textId="77777777" w:rsidR="005B5E3B" w:rsidRPr="007C7587" w:rsidRDefault="005B5E3B" w:rsidP="005B5E3B">
      <w:pPr>
        <w:pStyle w:val="SmallHeader"/>
        <w:jc w:val="center"/>
        <w:rPr>
          <w:sz w:val="22"/>
          <w:szCs w:val="32"/>
          <w:lang w:eastAsia="ja-JP"/>
        </w:rPr>
      </w:pPr>
      <w:r w:rsidRPr="007C7587">
        <w:rPr>
          <w:rFonts w:hint="eastAsia"/>
          <w:sz w:val="22"/>
          <w:szCs w:val="32"/>
          <w:lang w:eastAsia="ja-JP"/>
        </w:rPr>
        <w:t>提出日：令和○年○月○日</w:t>
      </w:r>
    </w:p>
    <w:p w14:paraId="7F8B225A" w14:textId="77777777" w:rsidR="005B5E3B" w:rsidRPr="005B5E3B" w:rsidRDefault="005B5E3B">
      <w:pPr>
        <w:spacing w:after="60" w:line="360" w:lineRule="exact"/>
        <w:jc w:val="right"/>
        <w:rPr>
          <w:sz w:val="18"/>
          <w:lang w:eastAsia="ja-JP"/>
        </w:rPr>
      </w:pPr>
    </w:p>
    <w:p w14:paraId="19CAE71E" w14:textId="77777777" w:rsidR="005B5E3B" w:rsidRDefault="005B5E3B">
      <w:pPr>
        <w:spacing w:after="60" w:line="360" w:lineRule="exact"/>
        <w:jc w:val="right"/>
        <w:rPr>
          <w:sz w:val="18"/>
          <w:lang w:eastAsia="ja-JP"/>
        </w:rPr>
      </w:pPr>
    </w:p>
    <w:p w14:paraId="17A950F9" w14:textId="77777777" w:rsidR="005B5E3B" w:rsidRDefault="005B5E3B">
      <w:pPr>
        <w:spacing w:after="60" w:line="360" w:lineRule="exact"/>
        <w:jc w:val="right"/>
        <w:rPr>
          <w:sz w:val="18"/>
          <w:lang w:eastAsia="ja-JP"/>
        </w:rPr>
      </w:pPr>
    </w:p>
    <w:p w14:paraId="2D2F451A" w14:textId="77777777" w:rsidR="005B5E3B" w:rsidRDefault="005B5E3B">
      <w:pPr>
        <w:spacing w:after="60" w:line="360" w:lineRule="exact"/>
        <w:jc w:val="right"/>
        <w:rPr>
          <w:sz w:val="18"/>
          <w:lang w:eastAsia="ja-JP"/>
        </w:rPr>
      </w:pPr>
    </w:p>
    <w:p w14:paraId="43C3FE2A" w14:textId="77777777" w:rsidR="005B5E3B" w:rsidRDefault="005B5E3B">
      <w:pPr>
        <w:spacing w:after="60" w:line="360" w:lineRule="exact"/>
        <w:jc w:val="right"/>
        <w:rPr>
          <w:sz w:val="18"/>
          <w:lang w:eastAsia="ja-JP"/>
        </w:rPr>
      </w:pPr>
    </w:p>
    <w:p w14:paraId="2F1CD016" w14:textId="77777777" w:rsidR="005B5E3B" w:rsidRDefault="005B5E3B">
      <w:pPr>
        <w:spacing w:after="60" w:line="360" w:lineRule="exact"/>
        <w:jc w:val="right"/>
        <w:rPr>
          <w:sz w:val="18"/>
          <w:lang w:eastAsia="ja-JP"/>
        </w:rPr>
      </w:pPr>
    </w:p>
    <w:p w14:paraId="47D18866" w14:textId="77777777" w:rsidR="005B5E3B" w:rsidRDefault="005B5E3B">
      <w:pPr>
        <w:spacing w:after="60" w:line="360" w:lineRule="exact"/>
        <w:jc w:val="right"/>
        <w:rPr>
          <w:rFonts w:hint="eastAsia"/>
          <w:sz w:val="18"/>
          <w:lang w:eastAsia="ja-JP"/>
        </w:rPr>
      </w:pPr>
    </w:p>
    <w:p w14:paraId="670D761A" w14:textId="77777777" w:rsidR="005B5E3B" w:rsidRDefault="005B5E3B">
      <w:pPr>
        <w:spacing w:after="60" w:line="360" w:lineRule="exact"/>
        <w:jc w:val="right"/>
        <w:rPr>
          <w:sz w:val="18"/>
          <w:lang w:eastAsia="ja-JP"/>
        </w:rPr>
      </w:pPr>
    </w:p>
    <w:p w14:paraId="51815C51" w14:textId="77777777" w:rsidR="005B5E3B" w:rsidRDefault="005B5E3B">
      <w:pPr>
        <w:spacing w:after="60" w:line="360" w:lineRule="exact"/>
        <w:jc w:val="right"/>
        <w:rPr>
          <w:sz w:val="18"/>
          <w:lang w:eastAsia="ja-JP"/>
        </w:rPr>
      </w:pPr>
    </w:p>
    <w:p w14:paraId="4FDC5D58" w14:textId="77777777" w:rsidR="005B5E3B" w:rsidRDefault="005B5E3B">
      <w:pPr>
        <w:spacing w:after="60" w:line="360" w:lineRule="exact"/>
        <w:jc w:val="right"/>
        <w:rPr>
          <w:sz w:val="18"/>
          <w:lang w:eastAsia="ja-JP"/>
        </w:rPr>
      </w:pPr>
    </w:p>
    <w:p w14:paraId="19153BD4" w14:textId="77777777" w:rsidR="005B5E3B" w:rsidRDefault="005B5E3B">
      <w:pPr>
        <w:spacing w:after="60" w:line="360" w:lineRule="exact"/>
        <w:jc w:val="right"/>
        <w:rPr>
          <w:sz w:val="18"/>
          <w:lang w:eastAsia="ja-JP"/>
        </w:rPr>
      </w:pPr>
    </w:p>
    <w:p w14:paraId="7BE9498C" w14:textId="77777777" w:rsidR="005B5E3B" w:rsidRDefault="005B5E3B">
      <w:pPr>
        <w:spacing w:after="60" w:line="360" w:lineRule="exact"/>
        <w:jc w:val="right"/>
        <w:rPr>
          <w:sz w:val="18"/>
          <w:lang w:eastAsia="ja-JP"/>
        </w:rPr>
      </w:pPr>
    </w:p>
    <w:p w14:paraId="7E065424" w14:textId="77777777" w:rsidR="005B5E3B" w:rsidRDefault="005B5E3B">
      <w:pPr>
        <w:spacing w:after="60" w:line="360" w:lineRule="exact"/>
        <w:jc w:val="right"/>
        <w:rPr>
          <w:sz w:val="18"/>
          <w:lang w:eastAsia="ja-JP"/>
        </w:rPr>
      </w:pPr>
    </w:p>
    <w:p w14:paraId="18A4C2A2" w14:textId="3FB78216" w:rsidR="00AC0919" w:rsidRDefault="00000000">
      <w:pPr>
        <w:spacing w:after="60" w:line="360" w:lineRule="exact"/>
        <w:jc w:val="right"/>
        <w:rPr>
          <w:lang w:eastAsia="ja-JP"/>
        </w:rPr>
      </w:pPr>
      <w:r>
        <w:rPr>
          <w:sz w:val="18"/>
          <w:lang w:eastAsia="ja-JP"/>
        </w:rPr>
        <w:lastRenderedPageBreak/>
        <w:t>経済産業省向け／説明資料（案）</w:t>
      </w:r>
    </w:p>
    <w:p w14:paraId="03CB8FD4" w14:textId="77777777" w:rsidR="00AC0919" w:rsidRDefault="00000000">
      <w:pPr>
        <w:pStyle w:val="aa"/>
        <w:spacing w:after="120" w:line="360" w:lineRule="exact"/>
        <w:jc w:val="center"/>
        <w:rPr>
          <w:lang w:eastAsia="ja-JP"/>
        </w:rPr>
      </w:pPr>
      <w:r>
        <w:rPr>
          <w:lang w:eastAsia="ja-JP"/>
        </w:rPr>
        <w:t>北日本戦略再設計構想</w:t>
      </w:r>
    </w:p>
    <w:p w14:paraId="33597CBA" w14:textId="77777777" w:rsidR="00AC0919" w:rsidRDefault="00000000">
      <w:pPr>
        <w:pStyle w:val="ac"/>
        <w:spacing w:after="60" w:line="360" w:lineRule="exact"/>
        <w:jc w:val="center"/>
        <w:rPr>
          <w:lang w:eastAsia="ja-JP"/>
        </w:rPr>
      </w:pPr>
      <w:r>
        <w:rPr>
          <w:lang w:eastAsia="ja-JP"/>
        </w:rPr>
        <w:t>産業基盤・エネルギー基盤・計算基盤整備に関する説明資料</w:t>
      </w:r>
    </w:p>
    <w:p w14:paraId="0B12B4B4" w14:textId="77777777" w:rsidR="00AC0919" w:rsidRDefault="00000000">
      <w:pPr>
        <w:pStyle w:val="ac"/>
        <w:spacing w:after="240" w:line="360" w:lineRule="exact"/>
        <w:jc w:val="center"/>
        <w:rPr>
          <w:lang w:eastAsia="ja-JP"/>
        </w:rPr>
      </w:pPr>
      <w:r>
        <w:rPr>
          <w:lang w:eastAsia="ja-JP"/>
        </w:rPr>
        <w:t>（経済産業省向け）</w:t>
      </w:r>
    </w:p>
    <w:p w14:paraId="67AB1BA7" w14:textId="77777777" w:rsidR="00AC0919" w:rsidRDefault="00000000">
      <w:pPr>
        <w:pStyle w:val="21"/>
        <w:spacing w:after="60" w:line="360" w:lineRule="exact"/>
        <w:rPr>
          <w:lang w:eastAsia="ja-JP"/>
        </w:rPr>
      </w:pPr>
      <w:r>
        <w:rPr>
          <w:lang w:eastAsia="ja-JP"/>
        </w:rPr>
        <w:t>作成目的</w:t>
      </w:r>
    </w:p>
    <w:p w14:paraId="2A50D3B3" w14:textId="77777777" w:rsidR="00AC0919" w:rsidRDefault="00000000">
      <w:pPr>
        <w:spacing w:after="60" w:line="360" w:lineRule="exact"/>
        <w:rPr>
          <w:lang w:eastAsia="ja-JP"/>
        </w:rPr>
      </w:pPr>
      <w:r>
        <w:rPr>
          <w:lang w:eastAsia="ja-JP"/>
        </w:rPr>
        <w:t>本資料は、北日本戦略再設計構想について、産業基盤、エネルギー基盤、計算基盤、半導体後工程・関連材料産業及び民間投資誘発の観点から整理し、経済産業省向け説明用資料として取りまとめるものである。</w:t>
      </w:r>
    </w:p>
    <w:p w14:paraId="79D6416E" w14:textId="77777777" w:rsidR="00AC0919" w:rsidRDefault="00000000">
      <w:pPr>
        <w:pStyle w:val="21"/>
        <w:spacing w:after="60" w:line="360" w:lineRule="exact"/>
        <w:rPr>
          <w:lang w:eastAsia="ja-JP"/>
        </w:rPr>
      </w:pPr>
      <w:r>
        <w:rPr>
          <w:lang w:eastAsia="ja-JP"/>
        </w:rPr>
        <w:t>位置づけ</w:t>
      </w:r>
    </w:p>
    <w:p w14:paraId="2B991D23" w14:textId="77777777" w:rsidR="00AC0919" w:rsidRDefault="00000000">
      <w:pPr>
        <w:spacing w:after="60" w:line="360" w:lineRule="exact"/>
        <w:rPr>
          <w:lang w:eastAsia="ja-JP"/>
        </w:rPr>
      </w:pPr>
      <w:r>
        <w:rPr>
          <w:lang w:eastAsia="ja-JP"/>
        </w:rPr>
        <w:t>本資料は総合版から経済産業省向け論点を抽出した説明資料であり、記載数値については、公表統計、政府資料その他の公式値に基づき今後再検証を行う前提で整理したものである。</w:t>
      </w:r>
    </w:p>
    <w:p w14:paraId="2BFF8B14" w14:textId="77777777" w:rsidR="00AC0919" w:rsidRDefault="00000000">
      <w:pPr>
        <w:pStyle w:val="1"/>
        <w:spacing w:after="60" w:line="360" w:lineRule="exact"/>
        <w:rPr>
          <w:lang w:eastAsia="ja-JP"/>
        </w:rPr>
      </w:pPr>
      <w:r>
        <w:rPr>
          <w:lang w:eastAsia="ja-JP"/>
        </w:rPr>
        <w:t>0</w:t>
      </w:r>
      <w:r>
        <w:rPr>
          <w:lang w:eastAsia="ja-JP"/>
        </w:rPr>
        <w:t>．要旨</w:t>
      </w:r>
    </w:p>
    <w:p w14:paraId="05873D0F" w14:textId="77777777" w:rsidR="00AC0919" w:rsidRDefault="00000000">
      <w:pPr>
        <w:pStyle w:val="21"/>
        <w:spacing w:after="60" w:line="360" w:lineRule="exact"/>
        <w:rPr>
          <w:lang w:eastAsia="ja-JP"/>
        </w:rPr>
      </w:pPr>
      <w:r>
        <w:rPr>
          <w:lang w:eastAsia="ja-JP"/>
        </w:rPr>
        <w:t>0-1</w:t>
      </w:r>
      <w:r>
        <w:rPr>
          <w:lang w:eastAsia="ja-JP"/>
        </w:rPr>
        <w:t>．一行要旨</w:t>
      </w:r>
    </w:p>
    <w:p w14:paraId="303E242B" w14:textId="77777777" w:rsidR="00AC0919" w:rsidRDefault="00000000">
      <w:pPr>
        <w:spacing w:after="60" w:line="360" w:lineRule="exact"/>
        <w:rPr>
          <w:lang w:eastAsia="ja-JP"/>
        </w:rPr>
      </w:pPr>
      <w:r>
        <w:rPr>
          <w:lang w:eastAsia="ja-JP"/>
        </w:rPr>
        <w:t>本構想は、首都圏及び太平洋側に偏在する産業、物流、エネルギー及び計算基盤を北日本において再配置し、供給網分散、計算資本形成及び民間投資誘発を一体で進める分散型産業基盤整備構想である。</w:t>
      </w:r>
    </w:p>
    <w:p w14:paraId="5AFE568B" w14:textId="77777777" w:rsidR="00AC0919" w:rsidRDefault="00000000">
      <w:pPr>
        <w:pStyle w:val="21"/>
        <w:spacing w:after="60" w:line="360" w:lineRule="exact"/>
        <w:rPr>
          <w:lang w:eastAsia="ja-JP"/>
        </w:rPr>
      </w:pPr>
      <w:r>
        <w:rPr>
          <w:lang w:eastAsia="ja-JP"/>
        </w:rPr>
        <w:t>0-2</w:t>
      </w:r>
      <w:r>
        <w:rPr>
          <w:lang w:eastAsia="ja-JP"/>
        </w:rPr>
        <w:t>．要点</w:t>
      </w:r>
    </w:p>
    <w:p w14:paraId="6A4AF2ED" w14:textId="77777777" w:rsidR="00AC0919" w:rsidRDefault="00000000">
      <w:pPr>
        <w:spacing w:after="60" w:line="360" w:lineRule="exact"/>
        <w:ind w:left="340" w:hanging="170"/>
        <w:rPr>
          <w:lang w:eastAsia="ja-JP"/>
        </w:rPr>
      </w:pPr>
      <w:r>
        <w:rPr>
          <w:lang w:eastAsia="ja-JP"/>
        </w:rPr>
        <w:t>① 青森の複合立地優位</w:t>
      </w:r>
      <w:r>
        <w:rPr>
          <w:lang w:eastAsia="ja-JP"/>
        </w:rPr>
        <w:br/>
        <w:t>物流、冷却、エネルギー、安全保障上の冗長性及び人口減少先進地域としての実証性が高密度に重なっている。</w:t>
      </w:r>
    </w:p>
    <w:p w14:paraId="58566588" w14:textId="77777777" w:rsidR="00AC0919" w:rsidRDefault="00000000">
      <w:pPr>
        <w:spacing w:after="60" w:line="360" w:lineRule="exact"/>
        <w:ind w:left="340" w:hanging="170"/>
        <w:rPr>
          <w:lang w:eastAsia="ja-JP"/>
        </w:rPr>
      </w:pPr>
      <w:r>
        <w:rPr>
          <w:lang w:eastAsia="ja-JP"/>
        </w:rPr>
        <w:t>② 第一の矢の実装</w:t>
      </w:r>
      <w:r>
        <w:rPr>
          <w:lang w:eastAsia="ja-JP"/>
        </w:rPr>
        <w:br/>
        <w:t>メガフロート、港湾・空港、八甲田エネルギー基盤、データセンター及び半導体後工程・関連材料産業を一体的に整備する。</w:t>
      </w:r>
    </w:p>
    <w:p w14:paraId="058200C8" w14:textId="77777777" w:rsidR="00AC0919" w:rsidRDefault="00000000">
      <w:pPr>
        <w:spacing w:after="60" w:line="360" w:lineRule="exact"/>
        <w:ind w:left="340" w:hanging="170"/>
        <w:rPr>
          <w:lang w:eastAsia="ja-JP"/>
        </w:rPr>
      </w:pPr>
      <w:r>
        <w:rPr>
          <w:lang w:eastAsia="ja-JP"/>
        </w:rPr>
        <w:t>③ 政策効果</w:t>
      </w:r>
      <w:r>
        <w:rPr>
          <w:lang w:eastAsia="ja-JP"/>
        </w:rPr>
        <w:br/>
        <w:t>供給網分散、計算資本形成、民間投資誘発、雇用及び技能形成を通じ、経済安全保障と産業競争力の両立を図る。</w:t>
      </w:r>
    </w:p>
    <w:p w14:paraId="67649B1F" w14:textId="77777777" w:rsidR="00AC0919" w:rsidRDefault="00000000">
      <w:pPr>
        <w:spacing w:after="60" w:line="360" w:lineRule="exact"/>
        <w:ind w:left="340" w:hanging="170"/>
        <w:rPr>
          <w:lang w:eastAsia="ja-JP"/>
        </w:rPr>
      </w:pPr>
      <w:r>
        <w:rPr>
          <w:lang w:eastAsia="ja-JP"/>
        </w:rPr>
        <w:t>④ 既存政策との整合</w:t>
      </w:r>
      <w:r>
        <w:rPr>
          <w:lang w:eastAsia="ja-JP"/>
        </w:rPr>
        <w:br/>
        <w:t>本構想は、データセンターの地方分散整備、デジタルインフラ強化及び半導体・関連産業基盤強化の方向性と整合し、それらを北日本において一体的に加速させるものである。</w:t>
      </w:r>
    </w:p>
    <w:p w14:paraId="199FE362" w14:textId="77777777" w:rsidR="00AC0919" w:rsidRDefault="00000000">
      <w:pPr>
        <w:pStyle w:val="1"/>
        <w:spacing w:after="60" w:line="360" w:lineRule="exact"/>
        <w:rPr>
          <w:lang w:eastAsia="ja-JP"/>
        </w:rPr>
      </w:pPr>
      <w:r>
        <w:rPr>
          <w:lang w:eastAsia="ja-JP"/>
        </w:rPr>
        <w:lastRenderedPageBreak/>
        <w:t>1</w:t>
      </w:r>
      <w:r>
        <w:rPr>
          <w:lang w:eastAsia="ja-JP"/>
        </w:rPr>
        <w:t>．本構想の位置づけ</w:t>
      </w:r>
    </w:p>
    <w:p w14:paraId="25E2E864" w14:textId="77777777" w:rsidR="00AC0919" w:rsidRDefault="00000000">
      <w:pPr>
        <w:pStyle w:val="21"/>
        <w:spacing w:after="60" w:line="360" w:lineRule="exact"/>
        <w:rPr>
          <w:lang w:eastAsia="ja-JP"/>
        </w:rPr>
      </w:pPr>
      <w:r>
        <w:rPr>
          <w:lang w:eastAsia="ja-JP"/>
        </w:rPr>
        <w:t>1-1</w:t>
      </w:r>
      <w:r>
        <w:rPr>
          <w:lang w:eastAsia="ja-JP"/>
        </w:rPr>
        <w:t>．基本認識</w:t>
      </w:r>
    </w:p>
    <w:p w14:paraId="0CFA0A3D" w14:textId="77777777" w:rsidR="00AC0919" w:rsidRDefault="00000000">
      <w:pPr>
        <w:spacing w:after="60" w:line="360" w:lineRule="exact"/>
        <w:rPr>
          <w:lang w:eastAsia="ja-JP"/>
        </w:rPr>
      </w:pPr>
      <w:r>
        <w:rPr>
          <w:lang w:eastAsia="ja-JP"/>
        </w:rPr>
        <w:t>本構想は、首都圏及び太平洋側に偏在する産業、物流、エネルギー及び計算基盤の過度な集中を是正し、我が国の経済安全保障、供給網安定性及び計算資本基盤の強化を図ることを目的とするものである。とりわけ、データセンター、半導体後工程及び関連材料、地熱、送電、蓄電等を含む基盤を北日本において一体的に整備することにより、平時における成長投資と、非常時における分散型産業基盤の形成を両立させようとするものである。加えて、本構想は、既存のデータセンター地方分散整備、デジタルインフラ強化及び半導体・関連産業基盤強化の政策方向と整合し、それらをエネルギー基盤、物流基盤及び計算基盤と接続することで、実装可能性及び波及効果を高めようとするものである。</w:t>
      </w:r>
    </w:p>
    <w:p w14:paraId="6F678BB1" w14:textId="77777777" w:rsidR="00AC0919" w:rsidRDefault="00000000">
      <w:pPr>
        <w:pStyle w:val="21"/>
        <w:spacing w:after="60" w:line="360" w:lineRule="exact"/>
        <w:rPr>
          <w:lang w:eastAsia="ja-JP"/>
        </w:rPr>
      </w:pPr>
      <w:r>
        <w:rPr>
          <w:lang w:eastAsia="ja-JP"/>
        </w:rPr>
        <w:t>1-2</w:t>
      </w:r>
      <w:r>
        <w:rPr>
          <w:lang w:eastAsia="ja-JP"/>
        </w:rPr>
        <w:t>．青森を起点とする理由</w:t>
      </w:r>
    </w:p>
    <w:p w14:paraId="7266F4B7" w14:textId="77777777" w:rsidR="00AC0919" w:rsidRDefault="00000000">
      <w:pPr>
        <w:spacing w:after="60" w:line="360" w:lineRule="exact"/>
        <w:rPr>
          <w:lang w:eastAsia="ja-JP"/>
        </w:rPr>
      </w:pPr>
      <w:r>
        <w:rPr>
          <w:lang w:eastAsia="ja-JP"/>
        </w:rPr>
        <w:t>本構想において青森を起点とする理由は、単一の立地条件によるものではなく、物流、冷却、エネルギー、安全保障上の冗長性及び人口減少先進地域としての実証性が重なっていることによる。青森は、日本海、太平洋、津軽海峡及び陸奥湾を同時に視野に収める地理的位置を有し、冷涼な気候、地下水、海水冷却、八甲田地熱の活用可能性に加え、三沢、車力、大湊等の安全保障・警戒監視系既存基盤、六ヶ所、東通、大間及び県内水力等のエネルギー系既存基盤とも近接している。このため、産業、物流、電力及び計算基盤を分散配置するうえで、実証性及び拡張性を併せ持つ地域として整理することができる。</w:t>
      </w:r>
    </w:p>
    <w:p w14:paraId="72C71494" w14:textId="77777777" w:rsidR="00AC0919" w:rsidRDefault="00000000">
      <w:pPr>
        <w:pStyle w:val="1"/>
        <w:spacing w:after="60" w:line="360" w:lineRule="exact"/>
        <w:rPr>
          <w:lang w:eastAsia="ja-JP"/>
        </w:rPr>
      </w:pPr>
      <w:r>
        <w:rPr>
          <w:lang w:eastAsia="ja-JP"/>
        </w:rPr>
        <w:t>2</w:t>
      </w:r>
      <w:r>
        <w:rPr>
          <w:lang w:eastAsia="ja-JP"/>
        </w:rPr>
        <w:t>．第一の矢の位置づけ</w:t>
      </w:r>
    </w:p>
    <w:p w14:paraId="5A6D5498" w14:textId="77777777" w:rsidR="00AC0919" w:rsidRDefault="00000000">
      <w:pPr>
        <w:pStyle w:val="21"/>
        <w:spacing w:after="60" w:line="360" w:lineRule="exact"/>
        <w:rPr>
          <w:lang w:eastAsia="ja-JP"/>
        </w:rPr>
      </w:pPr>
      <w:r>
        <w:rPr>
          <w:lang w:eastAsia="ja-JP"/>
        </w:rPr>
        <w:t>2-1</w:t>
      </w:r>
      <w:r>
        <w:rPr>
          <w:lang w:eastAsia="ja-JP"/>
        </w:rPr>
        <w:t>．中核構想</w:t>
      </w:r>
    </w:p>
    <w:p w14:paraId="2F533B8A" w14:textId="77777777" w:rsidR="00AC0919" w:rsidRDefault="00000000">
      <w:pPr>
        <w:spacing w:after="60" w:line="360" w:lineRule="exact"/>
        <w:rPr>
          <w:lang w:eastAsia="ja-JP"/>
        </w:rPr>
      </w:pPr>
      <w:r>
        <w:rPr>
          <w:lang w:eastAsia="ja-JP"/>
        </w:rPr>
        <w:t>本構想の中核は、第一の矢である「北の経済・物流・エネルギー・計算基盤整備」である。これは、メガフロート、港湾・空港、八甲田エネルギー基盤、データセンター及び半導体後工程・関連材料産業を個別事業としてではなく、相互に依存関係を持つ産業基盤として一体的に整備する考え方である。</w:t>
      </w:r>
    </w:p>
    <w:p w14:paraId="271FDB53" w14:textId="77777777" w:rsidR="00AC0919" w:rsidRDefault="00000000">
      <w:pPr>
        <w:pStyle w:val="21"/>
        <w:spacing w:after="60" w:line="360" w:lineRule="exact"/>
        <w:rPr>
          <w:lang w:eastAsia="ja-JP"/>
        </w:rPr>
      </w:pPr>
      <w:r>
        <w:rPr>
          <w:lang w:eastAsia="ja-JP"/>
        </w:rPr>
        <w:t>2-2</w:t>
      </w:r>
      <w:r>
        <w:rPr>
          <w:lang w:eastAsia="ja-JP"/>
        </w:rPr>
        <w:t>．経済産業政策上の意味</w:t>
      </w:r>
    </w:p>
    <w:p w14:paraId="0C2DCFDB" w14:textId="77777777" w:rsidR="00AC0919" w:rsidRDefault="00000000">
      <w:pPr>
        <w:spacing w:after="60" w:line="360" w:lineRule="exact"/>
        <w:rPr>
          <w:lang w:eastAsia="ja-JP"/>
        </w:rPr>
      </w:pPr>
      <w:r>
        <w:rPr>
          <w:lang w:eastAsia="ja-JP"/>
        </w:rPr>
        <w:t>経済産業省向けに重要なのは、これを大型インフラ整備としてではなく、エネルギー制約、供給網偏在及び計算基盤偏在に対する産業政策上の対応として位置づける点にある。</w:t>
      </w:r>
    </w:p>
    <w:p w14:paraId="548BA9B9" w14:textId="77777777" w:rsidR="00AC0919" w:rsidRDefault="00000000">
      <w:pPr>
        <w:pStyle w:val="1"/>
        <w:spacing w:after="60" w:line="360" w:lineRule="exact"/>
        <w:rPr>
          <w:lang w:eastAsia="ja-JP"/>
        </w:rPr>
      </w:pPr>
      <w:r>
        <w:rPr>
          <w:lang w:eastAsia="ja-JP"/>
        </w:rPr>
        <w:lastRenderedPageBreak/>
        <w:t>3</w:t>
      </w:r>
      <w:r>
        <w:rPr>
          <w:lang w:eastAsia="ja-JP"/>
        </w:rPr>
        <w:t>．エネルギー基盤整備の現実性</w:t>
      </w:r>
    </w:p>
    <w:p w14:paraId="0CFAFBA5" w14:textId="77777777" w:rsidR="00AC0919" w:rsidRDefault="00000000">
      <w:pPr>
        <w:pStyle w:val="21"/>
        <w:spacing w:after="60" w:line="360" w:lineRule="exact"/>
        <w:rPr>
          <w:lang w:eastAsia="ja-JP"/>
        </w:rPr>
      </w:pPr>
      <w:r>
        <w:rPr>
          <w:lang w:eastAsia="ja-JP"/>
        </w:rPr>
        <w:t>3-1</w:t>
      </w:r>
      <w:r>
        <w:rPr>
          <w:lang w:eastAsia="ja-JP"/>
        </w:rPr>
        <w:t>．基本方針</w:t>
      </w:r>
    </w:p>
    <w:p w14:paraId="1394AFD4" w14:textId="77777777" w:rsidR="00AC0919" w:rsidRDefault="00000000">
      <w:pPr>
        <w:spacing w:after="60" w:line="360" w:lineRule="exact"/>
        <w:rPr>
          <w:lang w:eastAsia="ja-JP"/>
        </w:rPr>
      </w:pPr>
      <w:r>
        <w:rPr>
          <w:lang w:eastAsia="ja-JP"/>
        </w:rPr>
        <w:t>エネルギー基盤については、地熱、送電、蓄電及び冷却資源を一体で整備することを前提とする。特に、データセンター及び半導体関連産業は、電力コスト、安定供給及び冷却条件の影響を強く受けることから、北日本側における冷却条件の優位性と系統整備を組み合わせることにより、産業立地としての現実性を高めることが可能となる。</w:t>
      </w:r>
    </w:p>
    <w:p w14:paraId="4A2A050C" w14:textId="77777777" w:rsidR="00AC0919" w:rsidRDefault="00000000">
      <w:pPr>
        <w:pStyle w:val="21"/>
        <w:spacing w:after="60" w:line="360" w:lineRule="exact"/>
        <w:rPr>
          <w:lang w:eastAsia="ja-JP"/>
        </w:rPr>
      </w:pPr>
      <w:r>
        <w:rPr>
          <w:lang w:eastAsia="ja-JP"/>
        </w:rPr>
        <w:t>3-2</w:t>
      </w:r>
      <w:r>
        <w:rPr>
          <w:lang w:eastAsia="ja-JP"/>
        </w:rPr>
        <w:t>．工程の考え方</w:t>
      </w:r>
    </w:p>
    <w:p w14:paraId="49107D91" w14:textId="77777777" w:rsidR="00AC0919" w:rsidRDefault="00000000">
      <w:pPr>
        <w:spacing w:after="60" w:line="360" w:lineRule="exact"/>
        <w:rPr>
          <w:lang w:eastAsia="ja-JP"/>
        </w:rPr>
      </w:pPr>
      <w:r>
        <w:rPr>
          <w:lang w:eastAsia="ja-JP"/>
        </w:rPr>
        <w:t>本構想は、過大な一括投資を前提とするものではなく、地熱、送電、冷却及び港湾基盤を先行整備し、その後、データセンター及び半導体後工程・関連材料産業を段階的に誘致する工程を想定するものである。この点において、本構想は、データセンターの地方分散整備やデジタルインフラ強化の既存政策を、北日本におけるエネルギー基盤整備及び産業集積形成と接続し、より広い政策効果へ展開する構想として整理することができる。</w:t>
      </w:r>
    </w:p>
    <w:p w14:paraId="18AE0636" w14:textId="77777777" w:rsidR="00AC0919" w:rsidRDefault="00000000">
      <w:pPr>
        <w:pStyle w:val="1"/>
        <w:spacing w:after="60" w:line="360" w:lineRule="exact"/>
        <w:rPr>
          <w:lang w:eastAsia="ja-JP"/>
        </w:rPr>
      </w:pPr>
      <w:r>
        <w:rPr>
          <w:lang w:eastAsia="ja-JP"/>
        </w:rPr>
        <w:t>4</w:t>
      </w:r>
      <w:r>
        <w:rPr>
          <w:lang w:eastAsia="ja-JP"/>
        </w:rPr>
        <w:t>．データセンター・計算基盤</w:t>
      </w:r>
    </w:p>
    <w:p w14:paraId="6730F39F" w14:textId="77777777" w:rsidR="00AC0919" w:rsidRDefault="00000000">
      <w:pPr>
        <w:pStyle w:val="21"/>
        <w:spacing w:after="60" w:line="360" w:lineRule="exact"/>
        <w:rPr>
          <w:lang w:eastAsia="ja-JP"/>
        </w:rPr>
      </w:pPr>
      <w:r>
        <w:rPr>
          <w:lang w:eastAsia="ja-JP"/>
        </w:rPr>
        <w:t>4-1</w:t>
      </w:r>
      <w:r>
        <w:rPr>
          <w:lang w:eastAsia="ja-JP"/>
        </w:rPr>
        <w:t>．政策的位置づけ</w:t>
      </w:r>
    </w:p>
    <w:p w14:paraId="5BFF08D4" w14:textId="77777777" w:rsidR="00AC0919" w:rsidRDefault="00000000">
      <w:pPr>
        <w:spacing w:after="60" w:line="360" w:lineRule="exact"/>
        <w:rPr>
          <w:lang w:eastAsia="ja-JP"/>
        </w:rPr>
      </w:pPr>
      <w:r>
        <w:rPr>
          <w:lang w:eastAsia="ja-JP"/>
        </w:rPr>
        <w:t>データセンターについては、単なる施設整備としてではなく、今後のAI社会インフラを支える計算資本基盤として位置づける。計算資源の安定確保は、産業競争力のみならず、供給網、行政、研究開発及び次世代産業基盤にも影響することから、首都圏偏在を是正し、北日本側において分散型計算基盤を形成することには政策的意義がある。</w:t>
      </w:r>
    </w:p>
    <w:p w14:paraId="6202A6B3" w14:textId="77777777" w:rsidR="00AC0919" w:rsidRDefault="00000000">
      <w:pPr>
        <w:pStyle w:val="21"/>
        <w:spacing w:after="60" w:line="360" w:lineRule="exact"/>
        <w:rPr>
          <w:lang w:eastAsia="ja-JP"/>
        </w:rPr>
      </w:pPr>
      <w:r>
        <w:rPr>
          <w:lang w:eastAsia="ja-JP"/>
        </w:rPr>
        <w:t>4-2</w:t>
      </w:r>
      <w:r>
        <w:rPr>
          <w:lang w:eastAsia="ja-JP"/>
        </w:rPr>
        <w:t>．運用面の意義</w:t>
      </w:r>
    </w:p>
    <w:p w14:paraId="1AC1FA45" w14:textId="77777777" w:rsidR="00AC0919" w:rsidRDefault="00000000">
      <w:pPr>
        <w:spacing w:after="60" w:line="360" w:lineRule="exact"/>
        <w:rPr>
          <w:lang w:eastAsia="ja-JP"/>
        </w:rPr>
      </w:pPr>
      <w:r>
        <w:rPr>
          <w:lang w:eastAsia="ja-JP"/>
        </w:rPr>
        <w:t>加えて、冷却条件の改善は、施設全体のエネルギー効率及び運用コスト低減の余地を生み、計算資本の持続可能性向上に資する。</w:t>
      </w:r>
    </w:p>
    <w:p w14:paraId="1EAAE95B" w14:textId="77777777" w:rsidR="00AC0919" w:rsidRDefault="00000000">
      <w:pPr>
        <w:pStyle w:val="1"/>
        <w:spacing w:after="60" w:line="360" w:lineRule="exact"/>
      </w:pPr>
      <w:r>
        <w:t>5</w:t>
      </w:r>
      <w:r>
        <w:t>．半導体戦略</w:t>
      </w:r>
    </w:p>
    <w:p w14:paraId="1DC71C0E" w14:textId="77777777" w:rsidR="00AC0919" w:rsidRDefault="00000000">
      <w:pPr>
        <w:pStyle w:val="21"/>
        <w:spacing w:after="60" w:line="360" w:lineRule="exact"/>
      </w:pPr>
      <w:r>
        <w:t>5-1</w:t>
      </w:r>
      <w:r>
        <w:t>．基本方針</w:t>
      </w:r>
    </w:p>
    <w:p w14:paraId="7A8C1050" w14:textId="77777777" w:rsidR="00AC0919" w:rsidRDefault="00000000">
      <w:pPr>
        <w:spacing w:after="60" w:line="360" w:lineRule="exact"/>
        <w:rPr>
          <w:lang w:eastAsia="ja-JP"/>
        </w:rPr>
      </w:pPr>
      <w:r>
        <w:rPr>
          <w:lang w:eastAsia="ja-JP"/>
        </w:rPr>
        <w:t>半導体戦略については、前工程を直ちに目指すのではなく、後工程及び関連材料から入る現実路線を採る。これは、必要電力、水量、初期投資、人材要件及び地政学的摩擦の観点から、後工程及び材料分野の方が相対的に実装可能性が高いためである。具体的には、パワー半導体、次世代パッケージング、後工程受託機能及び関連材料分野を現実的な入口として整理し、部素材、検査、実装、周辺工程を含む集積形成を目指すことが適当である。</w:t>
      </w:r>
    </w:p>
    <w:p w14:paraId="6A5AB4FC" w14:textId="77777777" w:rsidR="00AC0919" w:rsidRDefault="00000000">
      <w:pPr>
        <w:pStyle w:val="21"/>
        <w:spacing w:after="60" w:line="360" w:lineRule="exact"/>
        <w:rPr>
          <w:lang w:eastAsia="ja-JP"/>
        </w:rPr>
      </w:pPr>
      <w:r>
        <w:rPr>
          <w:lang w:eastAsia="ja-JP"/>
        </w:rPr>
        <w:lastRenderedPageBreak/>
        <w:t>5-2</w:t>
      </w:r>
      <w:r>
        <w:rPr>
          <w:lang w:eastAsia="ja-JP"/>
        </w:rPr>
        <w:t>．段階整備の考え方</w:t>
      </w:r>
    </w:p>
    <w:p w14:paraId="34DE255A" w14:textId="77777777" w:rsidR="00AC0919" w:rsidRDefault="00000000">
      <w:pPr>
        <w:spacing w:after="60" w:line="360" w:lineRule="exact"/>
        <w:rPr>
          <w:lang w:eastAsia="ja-JP"/>
        </w:rPr>
      </w:pPr>
      <w:r>
        <w:rPr>
          <w:lang w:eastAsia="ja-JP"/>
        </w:rPr>
        <w:t>まず後工程及び材料分野において産業集積を形成し、その上で将来的な拡張余地を確保することは、経済産業政策上も合理的な段階整備の考え方に合致する。特に、パワー半導体、先端パッケージング、関連材料及び周辺工程を含む分野は、前工程に比べて段階的実装が可能であり、エネルギー基盤及びデータセンター基盤との接続効果も見込みやすい。</w:t>
      </w:r>
    </w:p>
    <w:p w14:paraId="494BC68F" w14:textId="77777777" w:rsidR="00AC0919" w:rsidRDefault="00000000">
      <w:pPr>
        <w:pStyle w:val="1"/>
        <w:spacing w:after="60" w:line="360" w:lineRule="exact"/>
        <w:rPr>
          <w:lang w:eastAsia="ja-JP"/>
        </w:rPr>
      </w:pPr>
      <w:r>
        <w:rPr>
          <w:lang w:eastAsia="ja-JP"/>
        </w:rPr>
        <w:t>6</w:t>
      </w:r>
      <w:r>
        <w:rPr>
          <w:lang w:eastAsia="ja-JP"/>
        </w:rPr>
        <w:t>．民間投資誘発と政策効果</w:t>
      </w:r>
    </w:p>
    <w:p w14:paraId="7B0D461F" w14:textId="77777777" w:rsidR="00AC0919" w:rsidRDefault="00000000">
      <w:pPr>
        <w:pStyle w:val="21"/>
        <w:spacing w:after="60" w:line="360" w:lineRule="exact"/>
        <w:rPr>
          <w:lang w:eastAsia="ja-JP"/>
        </w:rPr>
      </w:pPr>
      <w:r>
        <w:rPr>
          <w:lang w:eastAsia="ja-JP"/>
        </w:rPr>
        <w:t>6-1</w:t>
      </w:r>
      <w:r>
        <w:rPr>
          <w:lang w:eastAsia="ja-JP"/>
        </w:rPr>
        <w:t>．民間投資誘発</w:t>
      </w:r>
    </w:p>
    <w:p w14:paraId="4747FBDD" w14:textId="77777777" w:rsidR="00AC0919" w:rsidRDefault="00000000">
      <w:pPr>
        <w:spacing w:after="60" w:line="360" w:lineRule="exact"/>
        <w:rPr>
          <w:lang w:eastAsia="ja-JP"/>
        </w:rPr>
      </w:pPr>
      <w:r>
        <w:rPr>
          <w:lang w:eastAsia="ja-JP"/>
        </w:rPr>
        <w:t>本構想は、公的整備のみを前提とするものではなく、民間投資誘発を前提とする。エネルギー、物流、データセンター、半導体後工程及び関連材料産業は相互に波及効果を有するため、公的基盤整備を呼び水として民間投資を誘発し、産業集積、雇用創出、技能形成及び地域定着へつなげることが可能となる。また、産業集積の持続性を確保するためには、地元大学、高専、地域企業等と連携し、データセンター、半導体後工程、関連材料及びエネルギー分野を支える高度人材の地域定着型育成を併せて進めることが重要である。</w:t>
      </w:r>
    </w:p>
    <w:p w14:paraId="2F9616A4" w14:textId="77777777" w:rsidR="00AC0919" w:rsidRDefault="00000000">
      <w:pPr>
        <w:pStyle w:val="21"/>
        <w:spacing w:after="60" w:line="360" w:lineRule="exact"/>
        <w:rPr>
          <w:lang w:eastAsia="ja-JP"/>
        </w:rPr>
      </w:pPr>
      <w:r>
        <w:rPr>
          <w:lang w:eastAsia="ja-JP"/>
        </w:rPr>
        <w:t>6-2</w:t>
      </w:r>
      <w:r>
        <w:rPr>
          <w:lang w:eastAsia="ja-JP"/>
        </w:rPr>
        <w:t>．評価の観点</w:t>
      </w:r>
    </w:p>
    <w:p w14:paraId="2BEF64C0" w14:textId="77777777" w:rsidR="00AC0919" w:rsidRDefault="00000000">
      <w:pPr>
        <w:spacing w:after="60" w:line="360" w:lineRule="exact"/>
        <w:rPr>
          <w:lang w:eastAsia="ja-JP"/>
        </w:rPr>
      </w:pPr>
      <w:r>
        <w:rPr>
          <w:lang w:eastAsia="ja-JP"/>
        </w:rPr>
        <w:t>このため、本構想の評価に当たっては、単年度の公的支出のみで判断するのではなく、供給網分散、エネルギー制約緩和、計算基盤形成、民間投資誘発及び高度人材育成を含めた総合的観点から整理することが必要である。特に、エンジニア及び高度技能人材の地域定着は、単なる雇用創出ではなく、産業集積の持続可能性を左右する基盤条件として位置づけることが適当である。</w:t>
      </w:r>
    </w:p>
    <w:p w14:paraId="19F8E50E" w14:textId="77777777" w:rsidR="00AC0919" w:rsidRDefault="00000000">
      <w:pPr>
        <w:pStyle w:val="1"/>
        <w:spacing w:after="60" w:line="360" w:lineRule="exact"/>
        <w:rPr>
          <w:lang w:eastAsia="ja-JP"/>
        </w:rPr>
      </w:pPr>
      <w:r>
        <w:rPr>
          <w:lang w:eastAsia="ja-JP"/>
        </w:rPr>
        <w:t>7</w:t>
      </w:r>
      <w:r>
        <w:rPr>
          <w:lang w:eastAsia="ja-JP"/>
        </w:rPr>
        <w:t>．結論</w:t>
      </w:r>
    </w:p>
    <w:p w14:paraId="7C78129D" w14:textId="77777777" w:rsidR="00AC0919" w:rsidRDefault="00000000">
      <w:pPr>
        <w:spacing w:after="60" w:line="360" w:lineRule="exact"/>
        <w:rPr>
          <w:lang w:eastAsia="ja-JP"/>
        </w:rPr>
      </w:pPr>
      <w:r>
        <w:rPr>
          <w:lang w:eastAsia="ja-JP"/>
        </w:rPr>
        <w:t>以上のとおり、本構想は、地方振興を主目的とするものではなく、我が国の産業、エネルギー及び計算基盤を分散再設計することにより、経済安全保障と産業競争力の両立を図るものである。加えて、本構想は、データセンター地方分散整備、デジタルインフラ強化及び半導体・関連産業基盤強化の既存政策方向と整合しつつ、それらを北日本においてエネルギー基盤、物流基盤及び人材育成基盤と接続することで、実装可能性及び政策効果を高めようとするものである。経済産業省向けには、財政論や保険価値論を前面に出すのではなく、青森の複合立地優位、エネルギー基盤整備の現実性、データセンター及び半導体後工程・関連材料産業の実装可能性、既存政策との整合性並びに民間投資誘発と高度人材育成を含む産業集積形成を中心に整理することが適当である。</w:t>
      </w:r>
    </w:p>
    <w:p w14:paraId="256F0AA5" w14:textId="77777777" w:rsidR="00AC0919" w:rsidRDefault="00000000">
      <w:pPr>
        <w:spacing w:before="120" w:line="240" w:lineRule="exact"/>
        <w:rPr>
          <w:lang w:eastAsia="ja-JP"/>
        </w:rPr>
      </w:pPr>
      <w:r>
        <w:rPr>
          <w:sz w:val="17"/>
          <w:lang w:eastAsia="ja-JP"/>
        </w:rPr>
        <w:t>注）本資料は説明用整理案であり、記載数値は今後、公表統計、政府資料その他の公式値に基づき再検証を行う前提である。</w:t>
      </w:r>
    </w:p>
    <w:sectPr w:rsidR="00AC0919" w:rsidSect="00034616">
      <w:pgSz w:w="12240" w:h="15840"/>
      <w:pgMar w:top="1417" w:right="1531" w:bottom="1417" w:left="153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16cid:durableId="2075815617">
    <w:abstractNumId w:val="8"/>
  </w:num>
  <w:num w:numId="2" w16cid:durableId="36123634">
    <w:abstractNumId w:val="6"/>
  </w:num>
  <w:num w:numId="3" w16cid:durableId="1313213981">
    <w:abstractNumId w:val="5"/>
  </w:num>
  <w:num w:numId="4" w16cid:durableId="362051747">
    <w:abstractNumId w:val="4"/>
  </w:num>
  <w:num w:numId="5" w16cid:durableId="461967388">
    <w:abstractNumId w:val="7"/>
  </w:num>
  <w:num w:numId="6" w16cid:durableId="1515151306">
    <w:abstractNumId w:val="3"/>
  </w:num>
  <w:num w:numId="7" w16cid:durableId="410857319">
    <w:abstractNumId w:val="2"/>
  </w:num>
  <w:num w:numId="8" w16cid:durableId="2042632005">
    <w:abstractNumId w:val="1"/>
  </w:num>
  <w:num w:numId="9" w16cid:durableId="13765420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5B5E3B"/>
    <w:rsid w:val="00AA1D8D"/>
    <w:rsid w:val="00AC0919"/>
    <w:rsid w:val="00B47730"/>
    <w:rsid w:val="00CB0664"/>
    <w:rsid w:val="00FC693F"/>
    <w:rsid w:val="00FE0C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v:textbox inset="5.85pt,.7pt,5.85pt,.7pt"/>
    </o:shapedefaults>
    <o:shapelayout v:ext="edit">
      <o:idmap v:ext="edit" data="1"/>
    </o:shapelayout>
  </w:shapeDefaults>
  <w:decimalSymbol w:val="."/>
  <w:listSeparator w:val=","/>
  <w14:docId w14:val="1A13343B"/>
  <w14:defaultImageDpi w14:val="300"/>
  <w15:docId w15:val="{ED130181-9240-4B54-9413-1B6D09570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C693F"/>
    <w:rPr>
      <w:rFonts w:ascii="游明朝" w:eastAsia="游明朝" w:hAnsi="游明朝"/>
      <w:sz w:val="21"/>
    </w:rPr>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6"/>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3"/>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ヘッダー (文字)"/>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フッター (文字)"/>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見出し 1 (文字)"/>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見出し 2 (文字)"/>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見出し 3 (文字)"/>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b/>
      <w:color w:val="17365D" w:themeColor="text2" w:themeShade="BF"/>
      <w:spacing w:val="5"/>
      <w:kern w:val="28"/>
      <w:sz w:val="32"/>
      <w:szCs w:val="52"/>
    </w:rPr>
  </w:style>
  <w:style w:type="character" w:customStyle="1" w:styleId="ab">
    <w:name w:val="表題 (文字)"/>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b/>
      <w:i/>
      <w:iCs/>
      <w:color w:val="4F81BD" w:themeColor="accent1"/>
      <w:spacing w:val="15"/>
      <w:sz w:val="24"/>
      <w:szCs w:val="24"/>
    </w:rPr>
  </w:style>
  <w:style w:type="character" w:customStyle="1" w:styleId="ad">
    <w:name w:val="副題 (文字)"/>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文字)"/>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文字)"/>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文字)"/>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マクロ文字列 (文字)"/>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用文 (文字)"/>
    <w:basedOn w:val="a2"/>
    <w:link w:val="af5"/>
    <w:uiPriority w:val="29"/>
    <w:rsid w:val="00FC693F"/>
    <w:rPr>
      <w:i/>
      <w:iCs/>
      <w:color w:val="000000" w:themeColor="text1"/>
    </w:rPr>
  </w:style>
  <w:style w:type="character" w:customStyle="1" w:styleId="40">
    <w:name w:val="見出し 4 (文字)"/>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見出し 5 (文字)"/>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見出し 6 (文字)"/>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見出し 7 (文字)"/>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見出し 8 (文字)"/>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見出し 9 (文字)"/>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27">
    <w:name w:val="Intense Quote"/>
    <w:basedOn w:val="a1"/>
    <w:next w:val="a1"/>
    <w:link w:val="28"/>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28">
    <w:name w:val="引用文 2 (文字)"/>
    <w:basedOn w:val="a2"/>
    <w:link w:val="27"/>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29">
    <w:name w:val="Intense Emphasis"/>
    <w:basedOn w:val="a2"/>
    <w:uiPriority w:val="21"/>
    <w:qFormat/>
    <w:rsid w:val="00FC693F"/>
    <w:rPr>
      <w:b/>
      <w:bCs/>
      <w:i/>
      <w:iCs/>
      <w:color w:val="4F81BD" w:themeColor="accent1"/>
    </w:rPr>
  </w:style>
  <w:style w:type="character" w:styleId="afb">
    <w:name w:val="Subtle Reference"/>
    <w:basedOn w:val="a2"/>
    <w:uiPriority w:val="31"/>
    <w:qFormat/>
    <w:rsid w:val="00FC693F"/>
    <w:rPr>
      <w:smallCaps/>
      <w:color w:val="C0504D" w:themeColor="accent2"/>
      <w:u w:val="single"/>
    </w:rPr>
  </w:style>
  <w:style w:type="character" w:styleId="2a">
    <w:name w:val="Intense Reference"/>
    <w:basedOn w:val="a2"/>
    <w:uiPriority w:val="32"/>
    <w:qFormat/>
    <w:rsid w:val="00FC693F"/>
    <w:rPr>
      <w:b/>
      <w:bCs/>
      <w:smallCaps/>
      <w:color w:val="C0504D" w:themeColor="accent2"/>
      <w:spacing w:val="5"/>
      <w:u w:val="single"/>
    </w:rPr>
  </w:style>
  <w:style w:type="character" w:styleId="afc">
    <w:name w:val="Book Title"/>
    <w:basedOn w:val="a2"/>
    <w:uiPriority w:val="33"/>
    <w:qFormat/>
    <w:rsid w:val="00FC693F"/>
    <w:rPr>
      <w:b/>
      <w:bCs/>
      <w:smallCaps/>
      <w:spacing w:val="5"/>
    </w:rPr>
  </w:style>
  <w:style w:type="paragraph" w:styleId="afd">
    <w:name w:val="TOC Heading"/>
    <w:basedOn w:val="1"/>
    <w:next w:val="a1"/>
    <w:uiPriority w:val="39"/>
    <w:semiHidden/>
    <w:unhideWhenUsed/>
    <w:qFormat/>
    <w:rsid w:val="00FC693F"/>
    <w:pPr>
      <w:outlineLvl w:val="9"/>
    </w:pPr>
  </w:style>
  <w:style w:type="table" w:styleId="afe">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3">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4">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5">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6">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7">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b">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d">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e">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1">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7">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8">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9">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a">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b">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c">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d">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2">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3">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4">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5">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6">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7">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1">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2">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3">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4">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5">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6">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7">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1">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2">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3">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4">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5">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6">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7">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1">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2">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3">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2">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3">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4">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5">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6">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7">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2">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3">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SmallHeader">
    <w:name w:val="SmallHeader"/>
    <w:basedOn w:val="a1"/>
    <w:rsid w:val="005B5E3B"/>
    <w:pPr>
      <w:spacing w:after="160" w:line="288" w:lineRule="auto"/>
      <w:jc w:val="right"/>
    </w:pPr>
    <w:rPr>
      <w:rFonts w:ascii="ＭＳ 明朝" w:eastAsia="ＭＳ 明朝" w:hAnsi="ＭＳ 明朝"/>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葬祭 天龍</cp:lastModifiedBy>
  <cp:revision>2</cp:revision>
  <dcterms:created xsi:type="dcterms:W3CDTF">2013-12-23T23:15:00Z</dcterms:created>
  <dcterms:modified xsi:type="dcterms:W3CDTF">2026-04-13T10:48:00Z</dcterms:modified>
  <cp:category/>
</cp:coreProperties>
</file>