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1553C" w14:textId="77777777" w:rsidR="00DE58FC" w:rsidRDefault="00DE58FC" w:rsidP="00DE58FC">
      <w:pPr>
        <w:pStyle w:val="SmallHeader"/>
        <w:jc w:val="center"/>
        <w:rPr>
          <w:lang w:eastAsia="ja-JP"/>
        </w:rPr>
      </w:pPr>
    </w:p>
    <w:p w14:paraId="6C6FBFFA" w14:textId="77777777" w:rsidR="00DE58FC" w:rsidRDefault="00DE58FC" w:rsidP="00DE58FC">
      <w:pPr>
        <w:pStyle w:val="SmallHeader"/>
        <w:rPr>
          <w:lang w:eastAsia="ja-JP"/>
        </w:rPr>
      </w:pPr>
    </w:p>
    <w:p w14:paraId="1624CA37" w14:textId="77777777" w:rsidR="00DE58FC" w:rsidRDefault="00DE58FC" w:rsidP="00DE58FC">
      <w:pPr>
        <w:pStyle w:val="SmallHeader"/>
        <w:rPr>
          <w:lang w:eastAsia="ja-JP"/>
        </w:rPr>
      </w:pPr>
    </w:p>
    <w:p w14:paraId="1C6E6524" w14:textId="77777777" w:rsidR="00DE58FC" w:rsidRDefault="00DE58FC" w:rsidP="00DE58FC">
      <w:pPr>
        <w:pStyle w:val="SmallHeader"/>
        <w:rPr>
          <w:lang w:eastAsia="ja-JP"/>
        </w:rPr>
      </w:pPr>
    </w:p>
    <w:p w14:paraId="3FC1D362" w14:textId="77777777" w:rsidR="00DE58FC" w:rsidRPr="00DE58FC" w:rsidRDefault="00DE58FC" w:rsidP="00DE58FC">
      <w:pPr>
        <w:pStyle w:val="SmallHeader"/>
        <w:jc w:val="center"/>
        <w:rPr>
          <w:sz w:val="36"/>
          <w:szCs w:val="48"/>
          <w:lang w:eastAsia="ja-JP"/>
        </w:rPr>
      </w:pPr>
      <w:r w:rsidRPr="00DE58FC">
        <w:rPr>
          <w:rFonts w:hint="eastAsia"/>
          <w:sz w:val="36"/>
          <w:szCs w:val="48"/>
          <w:lang w:eastAsia="ja-JP"/>
        </w:rPr>
        <w:t>北日本戦略再設計構想</w:t>
      </w:r>
    </w:p>
    <w:p w14:paraId="09D71BEA" w14:textId="77777777" w:rsidR="00DE58FC" w:rsidRPr="00DE58FC" w:rsidRDefault="00DE58FC" w:rsidP="00DE58FC">
      <w:pPr>
        <w:pStyle w:val="SmallHeader"/>
        <w:jc w:val="center"/>
        <w:rPr>
          <w:sz w:val="36"/>
          <w:szCs w:val="48"/>
          <w:lang w:eastAsia="ja-JP"/>
        </w:rPr>
      </w:pPr>
      <w:r w:rsidRPr="00DE58FC">
        <w:rPr>
          <w:rFonts w:hint="eastAsia"/>
          <w:sz w:val="36"/>
          <w:szCs w:val="48"/>
          <w:lang w:eastAsia="ja-JP"/>
        </w:rPr>
        <w:t>【防衛省向け説明資料】</w:t>
      </w:r>
    </w:p>
    <w:p w14:paraId="655134BC" w14:textId="1C569429" w:rsidR="00DE58FC" w:rsidRPr="007C7587" w:rsidRDefault="00DE58FC" w:rsidP="00DE58FC">
      <w:pPr>
        <w:pStyle w:val="SmallHeader"/>
        <w:jc w:val="center"/>
        <w:rPr>
          <w:sz w:val="36"/>
          <w:szCs w:val="48"/>
          <w:lang w:eastAsia="ja-JP"/>
        </w:rPr>
      </w:pPr>
      <w:r w:rsidRPr="00DE58FC">
        <w:rPr>
          <w:rFonts w:hint="eastAsia"/>
          <w:sz w:val="36"/>
          <w:szCs w:val="48"/>
          <w:lang w:eastAsia="ja-JP"/>
        </w:rPr>
        <w:t>第二・第三の矢及び国家継続性確保に関する説明資料</w:t>
      </w:r>
    </w:p>
    <w:p w14:paraId="77610F4C" w14:textId="77777777" w:rsidR="00DE58FC" w:rsidRDefault="00DE58FC" w:rsidP="00DE58FC">
      <w:pPr>
        <w:pStyle w:val="SmallHeader"/>
        <w:jc w:val="center"/>
        <w:rPr>
          <w:lang w:eastAsia="ja-JP"/>
        </w:rPr>
      </w:pPr>
    </w:p>
    <w:p w14:paraId="6194D23D" w14:textId="77777777" w:rsidR="00DE58FC" w:rsidRDefault="00DE58FC" w:rsidP="00DE58FC">
      <w:pPr>
        <w:pStyle w:val="SmallHeader"/>
        <w:jc w:val="center"/>
        <w:rPr>
          <w:lang w:eastAsia="ja-JP"/>
        </w:rPr>
      </w:pPr>
    </w:p>
    <w:p w14:paraId="25526346" w14:textId="77777777" w:rsidR="00DE58FC" w:rsidRDefault="00DE58FC" w:rsidP="00DE58FC">
      <w:pPr>
        <w:pStyle w:val="SmallHeader"/>
        <w:jc w:val="center"/>
        <w:rPr>
          <w:lang w:eastAsia="ja-JP"/>
        </w:rPr>
      </w:pPr>
    </w:p>
    <w:p w14:paraId="64B74A98" w14:textId="77777777" w:rsidR="00DE58FC" w:rsidRDefault="00DE58FC" w:rsidP="00DE58FC">
      <w:pPr>
        <w:pStyle w:val="SmallHeader"/>
        <w:jc w:val="center"/>
        <w:rPr>
          <w:rFonts w:hint="eastAsia"/>
          <w:lang w:eastAsia="ja-JP"/>
        </w:rPr>
      </w:pPr>
    </w:p>
    <w:p w14:paraId="66B5A513" w14:textId="77777777" w:rsidR="00DE58FC" w:rsidRPr="007C7587" w:rsidRDefault="00DE58FC" w:rsidP="00DE58FC">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618AAD68" w14:textId="77777777" w:rsidR="00DE58FC" w:rsidRPr="007C7587" w:rsidRDefault="00DE58FC" w:rsidP="00DE58FC">
      <w:pPr>
        <w:pStyle w:val="SmallHeader"/>
        <w:jc w:val="center"/>
        <w:rPr>
          <w:sz w:val="22"/>
          <w:szCs w:val="32"/>
          <w:lang w:eastAsia="ja-JP"/>
        </w:rPr>
      </w:pPr>
      <w:r w:rsidRPr="007C7587">
        <w:rPr>
          <w:rFonts w:hint="eastAsia"/>
          <w:sz w:val="22"/>
          <w:szCs w:val="32"/>
          <w:lang w:eastAsia="ja-JP"/>
        </w:rPr>
        <w:t>提出日：令和○年○月○日</w:t>
      </w:r>
    </w:p>
    <w:p w14:paraId="29B5C756" w14:textId="77777777" w:rsidR="00DE58FC" w:rsidRPr="00DE58FC" w:rsidRDefault="00DE58FC">
      <w:pPr>
        <w:spacing w:after="60" w:line="360" w:lineRule="exact"/>
        <w:jc w:val="right"/>
        <w:rPr>
          <w:sz w:val="18"/>
          <w:lang w:eastAsia="ja-JP"/>
        </w:rPr>
      </w:pPr>
    </w:p>
    <w:p w14:paraId="2ED1B395" w14:textId="77777777" w:rsidR="00DE58FC" w:rsidRDefault="00DE58FC">
      <w:pPr>
        <w:spacing w:after="60" w:line="360" w:lineRule="exact"/>
        <w:jc w:val="right"/>
        <w:rPr>
          <w:sz w:val="18"/>
          <w:lang w:eastAsia="ja-JP"/>
        </w:rPr>
      </w:pPr>
    </w:p>
    <w:p w14:paraId="4CA56B9B" w14:textId="77777777" w:rsidR="00DE58FC" w:rsidRDefault="00DE58FC">
      <w:pPr>
        <w:spacing w:after="60" w:line="360" w:lineRule="exact"/>
        <w:jc w:val="right"/>
        <w:rPr>
          <w:sz w:val="18"/>
          <w:lang w:eastAsia="ja-JP"/>
        </w:rPr>
      </w:pPr>
    </w:p>
    <w:p w14:paraId="7758CFB4" w14:textId="77777777" w:rsidR="00DE58FC" w:rsidRDefault="00DE58FC">
      <w:pPr>
        <w:spacing w:after="60" w:line="360" w:lineRule="exact"/>
        <w:jc w:val="right"/>
        <w:rPr>
          <w:sz w:val="18"/>
          <w:lang w:eastAsia="ja-JP"/>
        </w:rPr>
      </w:pPr>
    </w:p>
    <w:p w14:paraId="56AE9E40" w14:textId="77777777" w:rsidR="00DE58FC" w:rsidRDefault="00DE58FC">
      <w:pPr>
        <w:spacing w:after="60" w:line="360" w:lineRule="exact"/>
        <w:jc w:val="right"/>
        <w:rPr>
          <w:sz w:val="18"/>
          <w:lang w:eastAsia="ja-JP"/>
        </w:rPr>
      </w:pPr>
    </w:p>
    <w:p w14:paraId="21812D41" w14:textId="77777777" w:rsidR="00DE58FC" w:rsidRDefault="00DE58FC">
      <w:pPr>
        <w:spacing w:after="60" w:line="360" w:lineRule="exact"/>
        <w:jc w:val="right"/>
        <w:rPr>
          <w:sz w:val="18"/>
          <w:lang w:eastAsia="ja-JP"/>
        </w:rPr>
      </w:pPr>
    </w:p>
    <w:p w14:paraId="0B42F0C0" w14:textId="77777777" w:rsidR="00DE58FC" w:rsidRDefault="00DE58FC">
      <w:pPr>
        <w:spacing w:after="60" w:line="360" w:lineRule="exact"/>
        <w:jc w:val="right"/>
        <w:rPr>
          <w:sz w:val="18"/>
          <w:lang w:eastAsia="ja-JP"/>
        </w:rPr>
      </w:pPr>
    </w:p>
    <w:p w14:paraId="7253F954" w14:textId="77777777" w:rsidR="00DE58FC" w:rsidRDefault="00DE58FC">
      <w:pPr>
        <w:spacing w:after="60" w:line="360" w:lineRule="exact"/>
        <w:jc w:val="right"/>
        <w:rPr>
          <w:sz w:val="18"/>
          <w:lang w:eastAsia="ja-JP"/>
        </w:rPr>
      </w:pPr>
    </w:p>
    <w:p w14:paraId="472B3E3B" w14:textId="77777777" w:rsidR="00DE58FC" w:rsidRDefault="00DE58FC">
      <w:pPr>
        <w:spacing w:after="60" w:line="360" w:lineRule="exact"/>
        <w:jc w:val="right"/>
        <w:rPr>
          <w:sz w:val="18"/>
          <w:lang w:eastAsia="ja-JP"/>
        </w:rPr>
      </w:pPr>
    </w:p>
    <w:p w14:paraId="3BB01651" w14:textId="77777777" w:rsidR="00DE58FC" w:rsidRDefault="00DE58FC">
      <w:pPr>
        <w:spacing w:after="60" w:line="360" w:lineRule="exact"/>
        <w:jc w:val="right"/>
        <w:rPr>
          <w:sz w:val="18"/>
          <w:lang w:eastAsia="ja-JP"/>
        </w:rPr>
      </w:pPr>
    </w:p>
    <w:p w14:paraId="6DA5EEFD" w14:textId="77777777" w:rsidR="00DE58FC" w:rsidRDefault="00DE58FC">
      <w:pPr>
        <w:spacing w:after="60" w:line="360" w:lineRule="exact"/>
        <w:jc w:val="right"/>
        <w:rPr>
          <w:sz w:val="18"/>
          <w:lang w:eastAsia="ja-JP"/>
        </w:rPr>
      </w:pPr>
    </w:p>
    <w:p w14:paraId="32EE6571" w14:textId="77777777" w:rsidR="00DE58FC" w:rsidRDefault="00DE58FC">
      <w:pPr>
        <w:spacing w:after="60" w:line="360" w:lineRule="exact"/>
        <w:jc w:val="right"/>
        <w:rPr>
          <w:sz w:val="18"/>
          <w:lang w:eastAsia="ja-JP"/>
        </w:rPr>
      </w:pPr>
    </w:p>
    <w:p w14:paraId="37DF637A" w14:textId="77777777" w:rsidR="00DE58FC" w:rsidRDefault="00DE58FC">
      <w:pPr>
        <w:spacing w:after="60" w:line="360" w:lineRule="exact"/>
        <w:jc w:val="right"/>
        <w:rPr>
          <w:sz w:val="18"/>
          <w:lang w:eastAsia="ja-JP"/>
        </w:rPr>
      </w:pPr>
    </w:p>
    <w:p w14:paraId="3B7710BD" w14:textId="77777777" w:rsidR="00DE58FC" w:rsidRDefault="00DE58FC">
      <w:pPr>
        <w:spacing w:after="60" w:line="360" w:lineRule="exact"/>
        <w:jc w:val="right"/>
        <w:rPr>
          <w:rFonts w:hint="eastAsia"/>
          <w:sz w:val="18"/>
          <w:lang w:eastAsia="ja-JP"/>
        </w:rPr>
      </w:pPr>
    </w:p>
    <w:p w14:paraId="1CBF90DB" w14:textId="77777777" w:rsidR="00DE58FC" w:rsidRDefault="00DE58FC">
      <w:pPr>
        <w:spacing w:after="60" w:line="360" w:lineRule="exact"/>
        <w:jc w:val="right"/>
        <w:rPr>
          <w:sz w:val="18"/>
          <w:lang w:eastAsia="ja-JP"/>
        </w:rPr>
      </w:pPr>
    </w:p>
    <w:p w14:paraId="6C4E470E" w14:textId="25252315" w:rsidR="0094426A" w:rsidRDefault="00000000">
      <w:pPr>
        <w:spacing w:after="60" w:line="360" w:lineRule="exact"/>
        <w:jc w:val="right"/>
        <w:rPr>
          <w:lang w:eastAsia="ja-JP"/>
        </w:rPr>
      </w:pPr>
      <w:r>
        <w:rPr>
          <w:sz w:val="18"/>
          <w:lang w:eastAsia="ja-JP"/>
        </w:rPr>
        <w:lastRenderedPageBreak/>
        <w:t>防衛省向け／説明資料（案）</w:t>
      </w:r>
    </w:p>
    <w:p w14:paraId="1208CE0A" w14:textId="77777777" w:rsidR="0094426A" w:rsidRDefault="00000000">
      <w:pPr>
        <w:pStyle w:val="aa"/>
        <w:spacing w:after="120" w:line="360" w:lineRule="exact"/>
        <w:jc w:val="center"/>
        <w:rPr>
          <w:lang w:eastAsia="ja-JP"/>
        </w:rPr>
      </w:pPr>
      <w:r>
        <w:rPr>
          <w:lang w:eastAsia="ja-JP"/>
        </w:rPr>
        <w:t>北日本戦略再設計構想</w:t>
      </w:r>
    </w:p>
    <w:p w14:paraId="76D5031C" w14:textId="77777777" w:rsidR="0094426A" w:rsidRDefault="00000000">
      <w:pPr>
        <w:pStyle w:val="ac"/>
        <w:spacing w:after="60" w:line="360" w:lineRule="exact"/>
        <w:jc w:val="center"/>
        <w:rPr>
          <w:lang w:eastAsia="ja-JP"/>
        </w:rPr>
      </w:pPr>
      <w:r>
        <w:rPr>
          <w:lang w:eastAsia="ja-JP"/>
        </w:rPr>
        <w:t>防衛冗長化・国家継続性確保に関する説明資料</w:t>
      </w:r>
    </w:p>
    <w:p w14:paraId="64E55330" w14:textId="77777777" w:rsidR="0094426A" w:rsidRDefault="00000000">
      <w:pPr>
        <w:pStyle w:val="ac"/>
        <w:spacing w:after="240" w:line="360" w:lineRule="exact"/>
        <w:jc w:val="center"/>
        <w:rPr>
          <w:lang w:eastAsia="ja-JP"/>
        </w:rPr>
      </w:pPr>
      <w:r>
        <w:rPr>
          <w:lang w:eastAsia="ja-JP"/>
        </w:rPr>
        <w:t>（防衛省向け）</w:t>
      </w:r>
    </w:p>
    <w:p w14:paraId="4CB548C1" w14:textId="77777777" w:rsidR="0094426A" w:rsidRDefault="00000000">
      <w:pPr>
        <w:pStyle w:val="21"/>
        <w:spacing w:after="60" w:line="360" w:lineRule="exact"/>
        <w:rPr>
          <w:lang w:eastAsia="ja-JP"/>
        </w:rPr>
      </w:pPr>
      <w:r>
        <w:rPr>
          <w:lang w:eastAsia="ja-JP"/>
        </w:rPr>
        <w:t>作成目的</w:t>
      </w:r>
    </w:p>
    <w:p w14:paraId="61B4F8AA" w14:textId="77777777" w:rsidR="0094426A" w:rsidRDefault="00000000">
      <w:pPr>
        <w:spacing w:after="60" w:line="360" w:lineRule="exact"/>
        <w:rPr>
          <w:lang w:eastAsia="ja-JP"/>
        </w:rPr>
      </w:pPr>
      <w:r>
        <w:rPr>
          <w:lang w:eastAsia="ja-JP"/>
        </w:rPr>
        <w:t>本資料は、北日本戦略再設計構想について、防衛冗長化、国家継続性確保、既存拠点の役割再編及び民生基盤との接続を中心に整理し、防衛省向け説明用資料として取りまとめるものである。</w:t>
      </w:r>
    </w:p>
    <w:p w14:paraId="76B488D1" w14:textId="77777777" w:rsidR="0094426A" w:rsidRDefault="00000000">
      <w:pPr>
        <w:pStyle w:val="21"/>
        <w:spacing w:after="60" w:line="360" w:lineRule="exact"/>
        <w:rPr>
          <w:lang w:eastAsia="ja-JP"/>
        </w:rPr>
      </w:pPr>
      <w:r>
        <w:rPr>
          <w:lang w:eastAsia="ja-JP"/>
        </w:rPr>
        <w:t>位置づけ</w:t>
      </w:r>
    </w:p>
    <w:p w14:paraId="06F1ABD2" w14:textId="77777777" w:rsidR="0094426A" w:rsidRDefault="00000000">
      <w:pPr>
        <w:spacing w:after="60" w:line="360" w:lineRule="exact"/>
        <w:rPr>
          <w:lang w:eastAsia="ja-JP"/>
        </w:rPr>
      </w:pPr>
      <w:r>
        <w:rPr>
          <w:lang w:eastAsia="ja-JP"/>
        </w:rPr>
        <w:t>本資料は総合版から防衛省向け論点を抽出した説明資料であり、記載内容については、今後、制度、運用、既存拠点との整合性等を踏まえてさらに精査する前提で整理したものである。</w:t>
      </w:r>
    </w:p>
    <w:p w14:paraId="00594E5E" w14:textId="77777777" w:rsidR="0094426A" w:rsidRDefault="00000000">
      <w:pPr>
        <w:pStyle w:val="1"/>
        <w:spacing w:after="60" w:line="360" w:lineRule="exact"/>
        <w:rPr>
          <w:lang w:eastAsia="ja-JP"/>
        </w:rPr>
      </w:pPr>
      <w:r>
        <w:rPr>
          <w:lang w:eastAsia="ja-JP"/>
        </w:rPr>
        <w:t>0</w:t>
      </w:r>
      <w:r>
        <w:rPr>
          <w:lang w:eastAsia="ja-JP"/>
        </w:rPr>
        <w:t>．要旨</w:t>
      </w:r>
    </w:p>
    <w:p w14:paraId="7D200CAA" w14:textId="77777777" w:rsidR="0094426A" w:rsidRDefault="00000000">
      <w:pPr>
        <w:pStyle w:val="21"/>
        <w:spacing w:after="60" w:line="360" w:lineRule="exact"/>
        <w:rPr>
          <w:lang w:eastAsia="ja-JP"/>
        </w:rPr>
      </w:pPr>
      <w:r>
        <w:rPr>
          <w:lang w:eastAsia="ja-JP"/>
        </w:rPr>
        <w:t>0-1</w:t>
      </w:r>
      <w:r>
        <w:rPr>
          <w:lang w:eastAsia="ja-JP"/>
        </w:rPr>
        <w:t>．一行要旨</w:t>
      </w:r>
    </w:p>
    <w:p w14:paraId="5192CF84" w14:textId="77777777" w:rsidR="0094426A" w:rsidRDefault="00000000">
      <w:pPr>
        <w:spacing w:after="60" w:line="360" w:lineRule="exact"/>
        <w:rPr>
          <w:lang w:eastAsia="ja-JP"/>
        </w:rPr>
      </w:pPr>
      <w:r>
        <w:rPr>
          <w:lang w:eastAsia="ja-JP"/>
        </w:rPr>
        <w:t>本構想は、首都圏及び太平洋側に偏在する指揮、通信、監視、兵站及び後方支援機能の構造的脆弱性に対応し、北日本において分散的な受け皿を形成することにより、国家継続性及び継続運用性の向上を図る構想である。</w:t>
      </w:r>
    </w:p>
    <w:p w14:paraId="082FE9A0" w14:textId="77777777" w:rsidR="0094426A" w:rsidRDefault="00000000">
      <w:pPr>
        <w:pStyle w:val="21"/>
        <w:spacing w:after="60" w:line="360" w:lineRule="exact"/>
        <w:rPr>
          <w:lang w:eastAsia="ja-JP"/>
        </w:rPr>
      </w:pPr>
      <w:r>
        <w:rPr>
          <w:lang w:eastAsia="ja-JP"/>
        </w:rPr>
        <w:t>0-2</w:t>
      </w:r>
      <w:r>
        <w:rPr>
          <w:lang w:eastAsia="ja-JP"/>
        </w:rPr>
        <w:t>．要点</w:t>
      </w:r>
    </w:p>
    <w:p w14:paraId="31225D77" w14:textId="77777777" w:rsidR="0094426A" w:rsidRDefault="00000000">
      <w:pPr>
        <w:spacing w:after="60" w:line="360" w:lineRule="exact"/>
        <w:ind w:left="340" w:hanging="170"/>
        <w:rPr>
          <w:lang w:eastAsia="ja-JP"/>
        </w:rPr>
      </w:pPr>
      <w:r>
        <w:rPr>
          <w:lang w:eastAsia="ja-JP"/>
        </w:rPr>
        <w:t>① 基本認識</w:t>
      </w:r>
      <w:r>
        <w:rPr>
          <w:lang w:eastAsia="ja-JP"/>
        </w:rPr>
        <w:br/>
        <w:t>本構想は、単純な戦力増強を目的とするものではなく、巨大災害、有事及び複合障害時においても国家機能及び継続運用を維持し得るよう、既存拠点を活用しつつ北日本側に分散的な受け皿を形成しようとするものである。</w:t>
      </w:r>
    </w:p>
    <w:p w14:paraId="0E687CDE" w14:textId="77777777" w:rsidR="0094426A" w:rsidRDefault="00000000">
      <w:pPr>
        <w:spacing w:after="60" w:line="360" w:lineRule="exact"/>
        <w:ind w:left="340" w:hanging="170"/>
        <w:rPr>
          <w:lang w:eastAsia="ja-JP"/>
        </w:rPr>
      </w:pPr>
      <w:r>
        <w:rPr>
          <w:lang w:eastAsia="ja-JP"/>
        </w:rPr>
        <w:t>② 役割分担</w:t>
      </w:r>
      <w:r>
        <w:rPr>
          <w:lang w:eastAsia="ja-JP"/>
        </w:rPr>
        <w:br/>
        <w:t>三沢は太平洋側・首都代替・日米連接ノード、車力は日本海側・監視・通信・統合運用ノードとして整理し、大湊を含む既存機能は役割再配置及び統合運用の対象として捉える。</w:t>
      </w:r>
    </w:p>
    <w:p w14:paraId="598B13EF" w14:textId="77777777" w:rsidR="0094426A" w:rsidRDefault="00000000">
      <w:pPr>
        <w:spacing w:after="60" w:line="360" w:lineRule="exact"/>
        <w:ind w:left="340" w:hanging="170"/>
        <w:rPr>
          <w:lang w:eastAsia="ja-JP"/>
        </w:rPr>
      </w:pPr>
      <w:r>
        <w:rPr>
          <w:lang w:eastAsia="ja-JP"/>
        </w:rPr>
        <w:t>③ 構想の特徴</w:t>
      </w:r>
      <w:r>
        <w:rPr>
          <w:lang w:eastAsia="ja-JP"/>
        </w:rPr>
        <w:br/>
        <w:t>第一の矢による民生基盤整備と、第四の矢による国際共同投資を接続することにより、防衛施設のみの追加整備ではなく、民生基盤と継続運用性を一体で支える国家継続性構想として整理する。</w:t>
      </w:r>
    </w:p>
    <w:p w14:paraId="47889602" w14:textId="77777777" w:rsidR="0094426A" w:rsidRDefault="00000000">
      <w:pPr>
        <w:pStyle w:val="1"/>
        <w:spacing w:after="60" w:line="360" w:lineRule="exact"/>
        <w:rPr>
          <w:lang w:eastAsia="ja-JP"/>
        </w:rPr>
      </w:pPr>
      <w:r>
        <w:rPr>
          <w:lang w:eastAsia="ja-JP"/>
        </w:rPr>
        <w:lastRenderedPageBreak/>
        <w:t>1</w:t>
      </w:r>
      <w:r>
        <w:rPr>
          <w:lang w:eastAsia="ja-JP"/>
        </w:rPr>
        <w:t>．本構想の基本認識</w:t>
      </w:r>
    </w:p>
    <w:p w14:paraId="5DEFB0ED" w14:textId="77777777" w:rsidR="0094426A" w:rsidRDefault="00000000">
      <w:pPr>
        <w:spacing w:after="60" w:line="360" w:lineRule="exact"/>
        <w:rPr>
          <w:lang w:eastAsia="ja-JP"/>
        </w:rPr>
      </w:pPr>
      <w:r>
        <w:rPr>
          <w:lang w:eastAsia="ja-JP"/>
        </w:rPr>
        <w:t>本構想は、首都圏、横須賀及び太平洋側に偏在する指揮、通信、監視、兵站及び後方支援機能の集中に伴う構造的脆弱性に対応し、我が国の国家継続性及び継続運用性の向上を図ることを目的とするものである。したがって、その性格は、単純な戦力増強を目的とするものではなく、巨大災害、有事及び複合障害時においても、国家機能及び防衛運用を維持し得るよう、既存拠点を活用しつつ北日本側に分散的な受け皿を形成しようとする点にある。</w:t>
      </w:r>
    </w:p>
    <w:p w14:paraId="4F636B02" w14:textId="77777777" w:rsidR="0094426A" w:rsidRDefault="00000000">
      <w:pPr>
        <w:pStyle w:val="1"/>
        <w:spacing w:after="60" w:line="360" w:lineRule="exact"/>
        <w:rPr>
          <w:lang w:eastAsia="ja-JP"/>
        </w:rPr>
      </w:pPr>
      <w:r>
        <w:rPr>
          <w:lang w:eastAsia="ja-JP"/>
        </w:rPr>
        <w:t>2</w:t>
      </w:r>
      <w:r>
        <w:rPr>
          <w:lang w:eastAsia="ja-JP"/>
        </w:rPr>
        <w:t>．青森県内既存拠点の役割再整理</w:t>
      </w:r>
    </w:p>
    <w:p w14:paraId="340D0FAF" w14:textId="77777777" w:rsidR="0094426A" w:rsidRDefault="00000000">
      <w:pPr>
        <w:spacing w:after="60" w:line="360" w:lineRule="exact"/>
        <w:rPr>
          <w:lang w:eastAsia="ja-JP"/>
        </w:rPr>
      </w:pPr>
      <w:r>
        <w:rPr>
          <w:lang w:eastAsia="ja-JP"/>
        </w:rPr>
        <w:t>青森を重視する理由は、日本海、太平洋、津軽海峡及び陸奥湾を同時に視野に収める地理的位置に加え、三沢、車力、大湊等の既存基盤が比較的近接し、北方、海峡、太平洋側及び日本海側を接続する空間的条件を有しているためである。したがって、青森県内の既存拠点は、個別施設としてではなく、相互補完的に機能し得る一体的な冗長化空間として整理することが適当である。</w:t>
      </w:r>
    </w:p>
    <w:p w14:paraId="741F6BE3" w14:textId="77777777" w:rsidR="0094426A" w:rsidRDefault="00000000">
      <w:pPr>
        <w:spacing w:after="60" w:line="360" w:lineRule="exact"/>
        <w:rPr>
          <w:lang w:eastAsia="ja-JP"/>
        </w:rPr>
      </w:pPr>
      <w:r>
        <w:rPr>
          <w:lang w:eastAsia="ja-JP"/>
        </w:rPr>
        <w:t>この場合、三沢は太平洋側における日米連接及び首都圏被災時の代替ノードとして、車力は日本海側における監視、観測、通信及び統合運用支援の中核ノードとして位置づけることができる。また、大湊については、独立した一拠点として固定的に維持する前提ではなく、三沢及び車力との機能分担を再整理し、既存機能の再配置及び統合運用の中で位置づけることが望ましい。</w:t>
      </w:r>
    </w:p>
    <w:p w14:paraId="747ACFF5" w14:textId="77777777" w:rsidR="0094426A" w:rsidRDefault="00000000">
      <w:pPr>
        <w:pStyle w:val="1"/>
        <w:spacing w:after="60" w:line="360" w:lineRule="exact"/>
        <w:rPr>
          <w:lang w:eastAsia="ja-JP"/>
        </w:rPr>
      </w:pPr>
      <w:r>
        <w:rPr>
          <w:lang w:eastAsia="ja-JP"/>
        </w:rPr>
        <w:t>3</w:t>
      </w:r>
      <w:r>
        <w:rPr>
          <w:lang w:eastAsia="ja-JP"/>
        </w:rPr>
        <w:t>．第一の矢との接続</w:t>
      </w:r>
    </w:p>
    <w:p w14:paraId="2688EACF" w14:textId="77777777" w:rsidR="0094426A" w:rsidRDefault="00000000">
      <w:pPr>
        <w:spacing w:after="60" w:line="360" w:lineRule="exact"/>
        <w:rPr>
          <w:lang w:eastAsia="ja-JP"/>
        </w:rPr>
      </w:pPr>
      <w:r>
        <w:rPr>
          <w:lang w:eastAsia="ja-JP"/>
        </w:rPr>
        <w:t>本構想の特徴は、第二及び第三の矢を、第一の矢と接続している点にある。第一の矢により整備されるエネルギー基盤、港湾・空港、物流、データセンター及び通信基盤は、平時における産業及び計算基盤として機能するのみならず、非常時には指揮、通信、補給及び継続運用を下支えする民生基盤として機能し得る。このため、本構想は、防衛施設のみの追加整備としてではなく、民生基盤整備と防衛冗長化を接続する国家継続性構想として整理することが適当である。</w:t>
      </w:r>
    </w:p>
    <w:p w14:paraId="6DA4C3F7" w14:textId="77777777" w:rsidR="0094426A" w:rsidRDefault="00000000">
      <w:pPr>
        <w:pStyle w:val="1"/>
        <w:spacing w:after="60" w:line="360" w:lineRule="exact"/>
        <w:rPr>
          <w:lang w:eastAsia="ja-JP"/>
        </w:rPr>
      </w:pPr>
      <w:r>
        <w:rPr>
          <w:lang w:eastAsia="ja-JP"/>
        </w:rPr>
        <w:t>4</w:t>
      </w:r>
      <w:r>
        <w:rPr>
          <w:lang w:eastAsia="ja-JP"/>
        </w:rPr>
        <w:t>．陸奥湾の位置づけ</w:t>
      </w:r>
    </w:p>
    <w:p w14:paraId="64FEC07B" w14:textId="77777777" w:rsidR="0094426A" w:rsidRDefault="00000000">
      <w:pPr>
        <w:spacing w:after="60" w:line="360" w:lineRule="exact"/>
        <w:rPr>
          <w:lang w:eastAsia="ja-JP"/>
        </w:rPr>
      </w:pPr>
      <w:r>
        <w:rPr>
          <w:lang w:eastAsia="ja-JP"/>
        </w:rPr>
        <w:t>陸奥湾におけるメガフロート及び周辺基盤については、軍事色を過度に前面に出すのではなく、日本の主権下にある戦略的内湾として、津軽海峡の国際接続性を受け止める民生中核海域として位置づけることが適当である。陸奥湾は、露骨な軍事拠点ではなく、平時の産業、物流、エネルギー及び計算基盤の集積を通じて、非常時には重要物資、電子基盤及び関連部素材の迅速な確保を可能とする支援空間として整理することができる。すなわち、民生基盤が継続運用及び後方支援の効率向上に資する構造を有する点に特徴がある。</w:t>
      </w:r>
    </w:p>
    <w:p w14:paraId="1C2B224D" w14:textId="77777777" w:rsidR="0094426A" w:rsidRDefault="00000000">
      <w:pPr>
        <w:pStyle w:val="1"/>
        <w:spacing w:after="60" w:line="360" w:lineRule="exact"/>
        <w:rPr>
          <w:lang w:eastAsia="ja-JP"/>
        </w:rPr>
      </w:pPr>
      <w:r>
        <w:rPr>
          <w:lang w:eastAsia="ja-JP"/>
        </w:rPr>
        <w:lastRenderedPageBreak/>
        <w:t>5</w:t>
      </w:r>
      <w:r>
        <w:rPr>
          <w:lang w:eastAsia="ja-JP"/>
        </w:rPr>
        <w:t>．第四の矢との接続</w:t>
      </w:r>
    </w:p>
    <w:p w14:paraId="3DCFA1DD" w14:textId="77777777" w:rsidR="0094426A" w:rsidRDefault="00000000">
      <w:pPr>
        <w:spacing w:after="60" w:line="360" w:lineRule="exact"/>
        <w:rPr>
          <w:lang w:eastAsia="ja-JP"/>
        </w:rPr>
      </w:pPr>
      <w:r>
        <w:rPr>
          <w:lang w:eastAsia="ja-JP"/>
        </w:rPr>
        <w:t>第四の矢であるNEASIFは、単なる財源確保手段ではなく、国際共同投資を通じて参加主体に維持インセンティブを持たせ、資本と安定を連動させる利害共有型安全保障の仕組みとして位置づけられる。日本海側には自衛隊による監視、通信及び冗長化機能を置き、太平洋側には日米連接による安定軸を置き、その中央に位置する陸奥湾を軍事色を抑えた民生中核海域として国際共同投資の受け皿とすることにより、北日本全体を維持すべき空間として再設計することが可能となる。</w:t>
      </w:r>
    </w:p>
    <w:p w14:paraId="61817679" w14:textId="77777777" w:rsidR="0094426A" w:rsidRDefault="00000000">
      <w:pPr>
        <w:pStyle w:val="1"/>
        <w:spacing w:after="60" w:line="360" w:lineRule="exact"/>
        <w:rPr>
          <w:lang w:eastAsia="ja-JP"/>
        </w:rPr>
      </w:pPr>
      <w:r>
        <w:rPr>
          <w:lang w:eastAsia="ja-JP"/>
        </w:rPr>
        <w:t>6</w:t>
      </w:r>
      <w:r>
        <w:rPr>
          <w:lang w:eastAsia="ja-JP"/>
        </w:rPr>
        <w:t>．結論</w:t>
      </w:r>
    </w:p>
    <w:p w14:paraId="3EAADBF8" w14:textId="77777777" w:rsidR="0094426A" w:rsidRDefault="00000000">
      <w:pPr>
        <w:spacing w:after="60" w:line="360" w:lineRule="exact"/>
        <w:rPr>
          <w:lang w:eastAsia="ja-JP"/>
        </w:rPr>
      </w:pPr>
      <w:r>
        <w:rPr>
          <w:lang w:eastAsia="ja-JP"/>
        </w:rPr>
        <w:t>以上のとおり、本構想は、軍拡を主目的とするものではなく、首都圏及び太平洋側への一点集中リスクを緩和し、既存拠点の役割再編、民生基盤整備、国際共同投資並びに日本海側・太平洋側の役割分担を通じて、国家継続性及び継続運用性の向上を図るものである。防衛省向け説明においては、純粋な戦力増強論としてではなく、三沢・車力・大湊の役割再整理、第一の矢との接続、陸奥湾の民生中核海域としての位置づけ、第四の矢による利害共有型安全保障及び巨大災害時を含む継続運用可能性の確保を中心に整理することが適当である。</w:t>
      </w:r>
    </w:p>
    <w:p w14:paraId="3BC59508" w14:textId="77777777" w:rsidR="0094426A" w:rsidRDefault="00000000">
      <w:pPr>
        <w:spacing w:before="120" w:line="240" w:lineRule="exact"/>
        <w:rPr>
          <w:lang w:eastAsia="ja-JP"/>
        </w:rPr>
      </w:pPr>
      <w:r>
        <w:rPr>
          <w:sz w:val="17"/>
          <w:lang w:eastAsia="ja-JP"/>
        </w:rPr>
        <w:t>注）本資料は説明用整理案であり、記載内容については、今後、制度、運用、既存拠点との整合性等を踏まえてさらに精査する前提である。</w:t>
      </w:r>
    </w:p>
    <w:sectPr w:rsidR="0094426A"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125227798">
    <w:abstractNumId w:val="8"/>
  </w:num>
  <w:num w:numId="2" w16cid:durableId="617033413">
    <w:abstractNumId w:val="6"/>
  </w:num>
  <w:num w:numId="3" w16cid:durableId="861938571">
    <w:abstractNumId w:val="5"/>
  </w:num>
  <w:num w:numId="4" w16cid:durableId="146674199">
    <w:abstractNumId w:val="4"/>
  </w:num>
  <w:num w:numId="5" w16cid:durableId="1180043289">
    <w:abstractNumId w:val="7"/>
  </w:num>
  <w:num w:numId="6" w16cid:durableId="1677537146">
    <w:abstractNumId w:val="3"/>
  </w:num>
  <w:num w:numId="7" w16cid:durableId="1583877388">
    <w:abstractNumId w:val="2"/>
  </w:num>
  <w:num w:numId="8" w16cid:durableId="1044405409">
    <w:abstractNumId w:val="1"/>
  </w:num>
  <w:num w:numId="9" w16cid:durableId="149060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94426A"/>
    <w:rsid w:val="00AA1D8D"/>
    <w:rsid w:val="00B47730"/>
    <w:rsid w:val="00CB0664"/>
    <w:rsid w:val="00DE58FC"/>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61B6FB26"/>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DE58FC"/>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2026-04-13T10:50:00Z</dcterms:modified>
  <cp:category/>
</cp:coreProperties>
</file>