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15C1E4" w14:textId="77777777" w:rsidR="00362AC0" w:rsidRDefault="00362AC0" w:rsidP="00362AC0">
      <w:pPr>
        <w:pStyle w:val="SmallHeader"/>
        <w:jc w:val="center"/>
        <w:rPr>
          <w:lang w:eastAsia="ja-JP"/>
        </w:rPr>
      </w:pPr>
    </w:p>
    <w:p w14:paraId="6EBC1B39" w14:textId="77777777" w:rsidR="00362AC0" w:rsidRDefault="00362AC0" w:rsidP="00362AC0">
      <w:pPr>
        <w:pStyle w:val="SmallHeader"/>
        <w:rPr>
          <w:lang w:eastAsia="ja-JP"/>
        </w:rPr>
      </w:pPr>
    </w:p>
    <w:p w14:paraId="416D39EA" w14:textId="77777777" w:rsidR="00362AC0" w:rsidRDefault="00362AC0" w:rsidP="00362AC0">
      <w:pPr>
        <w:pStyle w:val="SmallHeader"/>
        <w:rPr>
          <w:lang w:eastAsia="ja-JP"/>
        </w:rPr>
      </w:pPr>
    </w:p>
    <w:p w14:paraId="1653A88B" w14:textId="77777777" w:rsidR="00362AC0" w:rsidRDefault="00362AC0" w:rsidP="00362AC0">
      <w:pPr>
        <w:pStyle w:val="SmallHeader"/>
        <w:rPr>
          <w:lang w:eastAsia="ja-JP"/>
        </w:rPr>
      </w:pPr>
    </w:p>
    <w:p w14:paraId="02B14061" w14:textId="77777777" w:rsidR="00362AC0" w:rsidRPr="00362AC0" w:rsidRDefault="00362AC0" w:rsidP="00362AC0">
      <w:pPr>
        <w:pStyle w:val="SmallHeader"/>
        <w:jc w:val="center"/>
        <w:rPr>
          <w:sz w:val="36"/>
          <w:szCs w:val="48"/>
          <w:lang w:eastAsia="ja-JP"/>
        </w:rPr>
      </w:pPr>
      <w:r w:rsidRPr="00362AC0">
        <w:rPr>
          <w:rFonts w:hint="eastAsia"/>
          <w:sz w:val="36"/>
          <w:szCs w:val="48"/>
          <w:lang w:eastAsia="ja-JP"/>
        </w:rPr>
        <w:t>北日本戦略再設計構想</w:t>
      </w:r>
    </w:p>
    <w:p w14:paraId="64FF7C1D" w14:textId="77777777" w:rsidR="00362AC0" w:rsidRPr="00362AC0" w:rsidRDefault="00362AC0" w:rsidP="00362AC0">
      <w:pPr>
        <w:pStyle w:val="SmallHeader"/>
        <w:jc w:val="center"/>
        <w:rPr>
          <w:sz w:val="36"/>
          <w:szCs w:val="48"/>
          <w:lang w:eastAsia="ja-JP"/>
        </w:rPr>
      </w:pPr>
      <w:r w:rsidRPr="00362AC0">
        <w:rPr>
          <w:rFonts w:hint="eastAsia"/>
          <w:sz w:val="36"/>
          <w:szCs w:val="48"/>
          <w:lang w:eastAsia="ja-JP"/>
        </w:rPr>
        <w:t>【国土交通省向け説明資料】</w:t>
      </w:r>
    </w:p>
    <w:p w14:paraId="05203A5D" w14:textId="38494B31" w:rsidR="00362AC0" w:rsidRPr="007C7587" w:rsidRDefault="00362AC0" w:rsidP="00362AC0">
      <w:pPr>
        <w:pStyle w:val="SmallHeader"/>
        <w:jc w:val="center"/>
        <w:rPr>
          <w:sz w:val="36"/>
          <w:szCs w:val="48"/>
          <w:lang w:eastAsia="ja-JP"/>
        </w:rPr>
      </w:pPr>
      <w:r w:rsidRPr="00362AC0">
        <w:rPr>
          <w:rFonts w:hint="eastAsia"/>
          <w:sz w:val="36"/>
          <w:szCs w:val="48"/>
          <w:lang w:eastAsia="ja-JP"/>
        </w:rPr>
        <w:t>物流・港湾・交通基盤・融雪インフラに関する説明資料</w:t>
      </w:r>
    </w:p>
    <w:p w14:paraId="406BB4A9" w14:textId="77777777" w:rsidR="00362AC0" w:rsidRDefault="00362AC0" w:rsidP="00362AC0">
      <w:pPr>
        <w:pStyle w:val="SmallHeader"/>
        <w:jc w:val="center"/>
        <w:rPr>
          <w:lang w:eastAsia="ja-JP"/>
        </w:rPr>
      </w:pPr>
    </w:p>
    <w:p w14:paraId="7EFE9E0B" w14:textId="77777777" w:rsidR="00362AC0" w:rsidRDefault="00362AC0" w:rsidP="00362AC0">
      <w:pPr>
        <w:pStyle w:val="SmallHeader"/>
        <w:jc w:val="center"/>
        <w:rPr>
          <w:lang w:eastAsia="ja-JP"/>
        </w:rPr>
      </w:pPr>
    </w:p>
    <w:p w14:paraId="0902065C" w14:textId="77777777" w:rsidR="00362AC0" w:rsidRDefault="00362AC0" w:rsidP="00362AC0">
      <w:pPr>
        <w:pStyle w:val="SmallHeader"/>
        <w:jc w:val="center"/>
        <w:rPr>
          <w:lang w:eastAsia="ja-JP"/>
        </w:rPr>
      </w:pPr>
    </w:p>
    <w:p w14:paraId="2DBA9C5D" w14:textId="77777777" w:rsidR="00362AC0" w:rsidRDefault="00362AC0" w:rsidP="00362AC0">
      <w:pPr>
        <w:pStyle w:val="SmallHeader"/>
        <w:jc w:val="center"/>
        <w:rPr>
          <w:rFonts w:hint="eastAsia"/>
          <w:lang w:eastAsia="ja-JP"/>
        </w:rPr>
      </w:pPr>
    </w:p>
    <w:p w14:paraId="6B0D6450" w14:textId="77777777" w:rsidR="00362AC0" w:rsidRPr="007C7587" w:rsidRDefault="00362AC0" w:rsidP="00362AC0">
      <w:pPr>
        <w:pStyle w:val="SmallHeader"/>
        <w:jc w:val="center"/>
        <w:rPr>
          <w:sz w:val="22"/>
          <w:szCs w:val="32"/>
          <w:lang w:eastAsia="ja-JP"/>
        </w:rPr>
      </w:pPr>
      <w:r w:rsidRPr="007C7587">
        <w:rPr>
          <w:rFonts w:hint="eastAsia"/>
          <w:sz w:val="22"/>
          <w:szCs w:val="32"/>
          <w:lang w:eastAsia="ja-JP"/>
        </w:rPr>
        <w:t>提出者：新岡</w:t>
      </w:r>
      <w:r w:rsidRPr="007C7587">
        <w:rPr>
          <w:sz w:val="22"/>
          <w:szCs w:val="32"/>
          <w:lang w:eastAsia="ja-JP"/>
        </w:rPr>
        <w:t xml:space="preserve"> 昌心</w:t>
      </w:r>
    </w:p>
    <w:p w14:paraId="7BCE4AAB" w14:textId="77777777" w:rsidR="00362AC0" w:rsidRPr="007C7587" w:rsidRDefault="00362AC0" w:rsidP="00362AC0">
      <w:pPr>
        <w:pStyle w:val="SmallHeader"/>
        <w:jc w:val="center"/>
        <w:rPr>
          <w:sz w:val="22"/>
          <w:szCs w:val="32"/>
          <w:lang w:eastAsia="ja-JP"/>
        </w:rPr>
      </w:pPr>
      <w:r w:rsidRPr="007C7587">
        <w:rPr>
          <w:rFonts w:hint="eastAsia"/>
          <w:sz w:val="22"/>
          <w:szCs w:val="32"/>
          <w:lang w:eastAsia="ja-JP"/>
        </w:rPr>
        <w:t>提出日：令和○年○月○日</w:t>
      </w:r>
    </w:p>
    <w:p w14:paraId="6A336775" w14:textId="77777777" w:rsidR="00362AC0" w:rsidRPr="00362AC0" w:rsidRDefault="00362AC0">
      <w:pPr>
        <w:spacing w:after="60" w:line="360" w:lineRule="exact"/>
        <w:jc w:val="right"/>
        <w:rPr>
          <w:sz w:val="18"/>
          <w:lang w:eastAsia="ja-JP"/>
        </w:rPr>
      </w:pPr>
    </w:p>
    <w:p w14:paraId="287D9EF7" w14:textId="77777777" w:rsidR="00362AC0" w:rsidRDefault="00362AC0">
      <w:pPr>
        <w:spacing w:after="60" w:line="360" w:lineRule="exact"/>
        <w:jc w:val="right"/>
        <w:rPr>
          <w:sz w:val="18"/>
          <w:lang w:eastAsia="ja-JP"/>
        </w:rPr>
      </w:pPr>
    </w:p>
    <w:p w14:paraId="4D5509B6" w14:textId="77777777" w:rsidR="00362AC0" w:rsidRDefault="00362AC0">
      <w:pPr>
        <w:spacing w:after="60" w:line="360" w:lineRule="exact"/>
        <w:jc w:val="right"/>
        <w:rPr>
          <w:sz w:val="18"/>
          <w:lang w:eastAsia="ja-JP"/>
        </w:rPr>
      </w:pPr>
    </w:p>
    <w:p w14:paraId="307E99DA" w14:textId="77777777" w:rsidR="00362AC0" w:rsidRDefault="00362AC0">
      <w:pPr>
        <w:spacing w:after="60" w:line="360" w:lineRule="exact"/>
        <w:jc w:val="right"/>
        <w:rPr>
          <w:sz w:val="18"/>
          <w:lang w:eastAsia="ja-JP"/>
        </w:rPr>
      </w:pPr>
    </w:p>
    <w:p w14:paraId="6A2FC54A" w14:textId="77777777" w:rsidR="00362AC0" w:rsidRDefault="00362AC0">
      <w:pPr>
        <w:spacing w:after="60" w:line="360" w:lineRule="exact"/>
        <w:jc w:val="right"/>
        <w:rPr>
          <w:sz w:val="18"/>
          <w:lang w:eastAsia="ja-JP"/>
        </w:rPr>
      </w:pPr>
    </w:p>
    <w:p w14:paraId="22530684" w14:textId="77777777" w:rsidR="00362AC0" w:rsidRDefault="00362AC0">
      <w:pPr>
        <w:spacing w:after="60" w:line="360" w:lineRule="exact"/>
        <w:jc w:val="right"/>
        <w:rPr>
          <w:sz w:val="18"/>
          <w:lang w:eastAsia="ja-JP"/>
        </w:rPr>
      </w:pPr>
    </w:p>
    <w:p w14:paraId="025C2088" w14:textId="77777777" w:rsidR="00362AC0" w:rsidRDefault="00362AC0">
      <w:pPr>
        <w:spacing w:after="60" w:line="360" w:lineRule="exact"/>
        <w:jc w:val="right"/>
        <w:rPr>
          <w:sz w:val="18"/>
          <w:lang w:eastAsia="ja-JP"/>
        </w:rPr>
      </w:pPr>
    </w:p>
    <w:p w14:paraId="1CD55724" w14:textId="77777777" w:rsidR="00362AC0" w:rsidRDefault="00362AC0">
      <w:pPr>
        <w:spacing w:after="60" w:line="360" w:lineRule="exact"/>
        <w:jc w:val="right"/>
        <w:rPr>
          <w:sz w:val="18"/>
          <w:lang w:eastAsia="ja-JP"/>
        </w:rPr>
      </w:pPr>
    </w:p>
    <w:p w14:paraId="3031A70A" w14:textId="77777777" w:rsidR="00362AC0" w:rsidRDefault="00362AC0">
      <w:pPr>
        <w:spacing w:after="60" w:line="360" w:lineRule="exact"/>
        <w:jc w:val="right"/>
        <w:rPr>
          <w:sz w:val="18"/>
          <w:lang w:eastAsia="ja-JP"/>
        </w:rPr>
      </w:pPr>
    </w:p>
    <w:p w14:paraId="290EC4EA" w14:textId="77777777" w:rsidR="00362AC0" w:rsidRDefault="00362AC0">
      <w:pPr>
        <w:spacing w:after="60" w:line="360" w:lineRule="exact"/>
        <w:jc w:val="right"/>
        <w:rPr>
          <w:sz w:val="18"/>
          <w:lang w:eastAsia="ja-JP"/>
        </w:rPr>
      </w:pPr>
    </w:p>
    <w:p w14:paraId="76164E17" w14:textId="77777777" w:rsidR="00362AC0" w:rsidRDefault="00362AC0">
      <w:pPr>
        <w:spacing w:after="60" w:line="360" w:lineRule="exact"/>
        <w:jc w:val="right"/>
        <w:rPr>
          <w:sz w:val="18"/>
          <w:lang w:eastAsia="ja-JP"/>
        </w:rPr>
      </w:pPr>
    </w:p>
    <w:p w14:paraId="3FD0C256" w14:textId="77777777" w:rsidR="00362AC0" w:rsidRDefault="00362AC0">
      <w:pPr>
        <w:spacing w:after="60" w:line="360" w:lineRule="exact"/>
        <w:jc w:val="right"/>
        <w:rPr>
          <w:sz w:val="18"/>
          <w:lang w:eastAsia="ja-JP"/>
        </w:rPr>
      </w:pPr>
    </w:p>
    <w:p w14:paraId="3F51BE84" w14:textId="77777777" w:rsidR="00362AC0" w:rsidRDefault="00362AC0">
      <w:pPr>
        <w:spacing w:after="60" w:line="360" w:lineRule="exact"/>
        <w:jc w:val="right"/>
        <w:rPr>
          <w:sz w:val="18"/>
          <w:lang w:eastAsia="ja-JP"/>
        </w:rPr>
      </w:pPr>
    </w:p>
    <w:p w14:paraId="1DCDA609" w14:textId="77777777" w:rsidR="00362AC0" w:rsidRDefault="00362AC0">
      <w:pPr>
        <w:spacing w:after="60" w:line="360" w:lineRule="exact"/>
        <w:jc w:val="right"/>
        <w:rPr>
          <w:rFonts w:hint="eastAsia"/>
          <w:sz w:val="18"/>
          <w:lang w:eastAsia="ja-JP"/>
        </w:rPr>
      </w:pPr>
    </w:p>
    <w:p w14:paraId="23BC5D32" w14:textId="77777777" w:rsidR="00362AC0" w:rsidRDefault="00362AC0">
      <w:pPr>
        <w:spacing w:after="60" w:line="360" w:lineRule="exact"/>
        <w:jc w:val="right"/>
        <w:rPr>
          <w:sz w:val="18"/>
          <w:lang w:eastAsia="ja-JP"/>
        </w:rPr>
      </w:pPr>
    </w:p>
    <w:p w14:paraId="1992F705" w14:textId="526264A8" w:rsidR="00201FFA" w:rsidRDefault="00000000">
      <w:pPr>
        <w:spacing w:after="60" w:line="360" w:lineRule="exact"/>
        <w:jc w:val="right"/>
        <w:rPr>
          <w:lang w:eastAsia="ja-JP"/>
        </w:rPr>
      </w:pPr>
      <w:r>
        <w:rPr>
          <w:sz w:val="18"/>
          <w:lang w:eastAsia="ja-JP"/>
        </w:rPr>
        <w:lastRenderedPageBreak/>
        <w:t>国土交通省向け／説明資料（案）</w:t>
      </w:r>
    </w:p>
    <w:p w14:paraId="361B2BD2" w14:textId="77777777" w:rsidR="00201FFA" w:rsidRDefault="00000000">
      <w:pPr>
        <w:pStyle w:val="aa"/>
        <w:spacing w:after="120" w:line="360" w:lineRule="exact"/>
        <w:jc w:val="center"/>
        <w:rPr>
          <w:lang w:eastAsia="ja-JP"/>
        </w:rPr>
      </w:pPr>
      <w:r>
        <w:rPr>
          <w:lang w:eastAsia="ja-JP"/>
        </w:rPr>
        <w:t>北日本戦略再設計構想</w:t>
      </w:r>
    </w:p>
    <w:p w14:paraId="4B6CE92F" w14:textId="77777777" w:rsidR="00201FFA" w:rsidRDefault="00000000">
      <w:pPr>
        <w:pStyle w:val="ac"/>
        <w:spacing w:after="60" w:line="360" w:lineRule="exact"/>
        <w:jc w:val="center"/>
        <w:rPr>
          <w:lang w:eastAsia="ja-JP"/>
        </w:rPr>
      </w:pPr>
      <w:r>
        <w:rPr>
          <w:lang w:eastAsia="ja-JP"/>
        </w:rPr>
        <w:t>交通・物流基盤・冬期交通維持に関する説明資料</w:t>
      </w:r>
    </w:p>
    <w:p w14:paraId="2C3A9E5F" w14:textId="77777777" w:rsidR="00201FFA" w:rsidRDefault="00000000">
      <w:pPr>
        <w:pStyle w:val="ac"/>
        <w:spacing w:after="240" w:line="360" w:lineRule="exact"/>
        <w:jc w:val="center"/>
        <w:rPr>
          <w:lang w:eastAsia="ja-JP"/>
        </w:rPr>
      </w:pPr>
      <w:r>
        <w:rPr>
          <w:lang w:eastAsia="ja-JP"/>
        </w:rPr>
        <w:t>（国土交通省向け）</w:t>
      </w:r>
    </w:p>
    <w:p w14:paraId="5FDA645F" w14:textId="77777777" w:rsidR="00201FFA" w:rsidRDefault="00000000">
      <w:pPr>
        <w:pStyle w:val="21"/>
        <w:spacing w:after="60" w:line="360" w:lineRule="exact"/>
        <w:rPr>
          <w:lang w:eastAsia="ja-JP"/>
        </w:rPr>
      </w:pPr>
      <w:r>
        <w:rPr>
          <w:lang w:eastAsia="ja-JP"/>
        </w:rPr>
        <w:t>作成目的</w:t>
      </w:r>
    </w:p>
    <w:p w14:paraId="584983C0" w14:textId="77777777" w:rsidR="00201FFA" w:rsidRDefault="00000000">
      <w:pPr>
        <w:spacing w:after="60" w:line="360" w:lineRule="exact"/>
        <w:rPr>
          <w:lang w:eastAsia="ja-JP"/>
        </w:rPr>
      </w:pPr>
      <w:r>
        <w:rPr>
          <w:lang w:eastAsia="ja-JP"/>
        </w:rPr>
        <w:t>本資料は、北日本戦略再設計構想について、交通基盤、物流基盤、陸奥湾メガフロート、港湾・空港・道路の一体整備及び冬期交通維持の観点から整理し、国土交通省向け説明用資料として取りまとめるものである。</w:t>
      </w:r>
    </w:p>
    <w:p w14:paraId="17504487" w14:textId="77777777" w:rsidR="00201FFA" w:rsidRDefault="00000000">
      <w:pPr>
        <w:pStyle w:val="21"/>
        <w:spacing w:after="60" w:line="360" w:lineRule="exact"/>
        <w:rPr>
          <w:lang w:eastAsia="ja-JP"/>
        </w:rPr>
      </w:pPr>
      <w:r>
        <w:rPr>
          <w:lang w:eastAsia="ja-JP"/>
        </w:rPr>
        <w:t>位置づけ</w:t>
      </w:r>
    </w:p>
    <w:p w14:paraId="7D61B878" w14:textId="77777777" w:rsidR="00201FFA" w:rsidRDefault="00000000">
      <w:pPr>
        <w:spacing w:after="60" w:line="360" w:lineRule="exact"/>
        <w:rPr>
          <w:lang w:eastAsia="ja-JP"/>
        </w:rPr>
      </w:pPr>
      <w:r>
        <w:rPr>
          <w:lang w:eastAsia="ja-JP"/>
        </w:rPr>
        <w:t>本資料は総合版から国土交通省向け論点を抽出した説明資料であり、記載内容については、今後、制度、既存インフラとの整合性、施工条件及び段階的整備の実現可能性等を踏まえてさらに精査する前提で整理したものである。</w:t>
      </w:r>
    </w:p>
    <w:p w14:paraId="28EED419" w14:textId="77777777" w:rsidR="00201FFA" w:rsidRDefault="00000000">
      <w:pPr>
        <w:pStyle w:val="1"/>
        <w:spacing w:after="60" w:line="360" w:lineRule="exact"/>
        <w:rPr>
          <w:lang w:eastAsia="ja-JP"/>
        </w:rPr>
      </w:pPr>
      <w:r>
        <w:rPr>
          <w:lang w:eastAsia="ja-JP"/>
        </w:rPr>
        <w:t>0</w:t>
      </w:r>
      <w:r>
        <w:rPr>
          <w:lang w:eastAsia="ja-JP"/>
        </w:rPr>
        <w:t>．要旨</w:t>
      </w:r>
    </w:p>
    <w:p w14:paraId="6D4B8A56" w14:textId="77777777" w:rsidR="00201FFA" w:rsidRDefault="00000000">
      <w:pPr>
        <w:pStyle w:val="21"/>
        <w:spacing w:after="60" w:line="360" w:lineRule="exact"/>
        <w:rPr>
          <w:lang w:eastAsia="ja-JP"/>
        </w:rPr>
      </w:pPr>
      <w:r>
        <w:rPr>
          <w:lang w:eastAsia="ja-JP"/>
        </w:rPr>
        <w:t>0-1</w:t>
      </w:r>
      <w:r>
        <w:rPr>
          <w:lang w:eastAsia="ja-JP"/>
        </w:rPr>
        <w:t>．一行要旨</w:t>
      </w:r>
    </w:p>
    <w:p w14:paraId="0606FB7C" w14:textId="77777777" w:rsidR="00201FFA" w:rsidRDefault="00000000">
      <w:pPr>
        <w:spacing w:after="60" w:line="360" w:lineRule="exact"/>
        <w:rPr>
          <w:lang w:eastAsia="ja-JP"/>
        </w:rPr>
      </w:pPr>
      <w:r>
        <w:rPr>
          <w:lang w:eastAsia="ja-JP"/>
        </w:rPr>
        <w:t>本構想は、首都圏及び太平洋側に偏在する交通、物流及び結節機能の構造的脆弱性に対応し、北日本において港湾・空港・道路・物流結節点・冬期交通維持を一体整備することにより、平時と非常時の双方に対応する広域交通基盤を形成する構想である。</w:t>
      </w:r>
    </w:p>
    <w:p w14:paraId="54EA696F" w14:textId="77777777" w:rsidR="00201FFA" w:rsidRDefault="00000000">
      <w:pPr>
        <w:pStyle w:val="21"/>
        <w:spacing w:after="60" w:line="360" w:lineRule="exact"/>
        <w:rPr>
          <w:lang w:eastAsia="ja-JP"/>
        </w:rPr>
      </w:pPr>
      <w:r>
        <w:rPr>
          <w:lang w:eastAsia="ja-JP"/>
        </w:rPr>
        <w:t>0-2</w:t>
      </w:r>
      <w:r>
        <w:rPr>
          <w:lang w:eastAsia="ja-JP"/>
        </w:rPr>
        <w:t>．要点</w:t>
      </w:r>
    </w:p>
    <w:p w14:paraId="3FDBB9AA" w14:textId="77777777" w:rsidR="00201FFA" w:rsidRDefault="00000000">
      <w:pPr>
        <w:spacing w:after="60" w:line="360" w:lineRule="exact"/>
        <w:rPr>
          <w:lang w:eastAsia="ja-JP"/>
        </w:rPr>
      </w:pPr>
      <w:r>
        <w:rPr>
          <w:lang w:eastAsia="ja-JP"/>
        </w:rPr>
        <w:t>① メガフロートは単独施設ではなく、陸奥湾を核に港湾、空港、道路及び物流結節点と接続した交通・物流中核拠点として位置づける。</w:t>
      </w:r>
    </w:p>
    <w:p w14:paraId="6B6E8FA3" w14:textId="77777777" w:rsidR="00201FFA" w:rsidRDefault="00000000">
      <w:pPr>
        <w:spacing w:after="60" w:line="360" w:lineRule="exact"/>
        <w:rPr>
          <w:lang w:eastAsia="ja-JP"/>
        </w:rPr>
      </w:pPr>
      <w:r>
        <w:rPr>
          <w:lang w:eastAsia="ja-JP"/>
        </w:rPr>
        <w:t>② 港湾・空港・道路を個別整備ではなく一体の輸送系として整理し、平時の輸送効率化と災害時の代替性向上を同時に図る。</w:t>
      </w:r>
    </w:p>
    <w:p w14:paraId="0B895B1A" w14:textId="77777777" w:rsidR="00201FFA" w:rsidRDefault="00000000">
      <w:pPr>
        <w:spacing w:after="60" w:line="360" w:lineRule="exact"/>
        <w:rPr>
          <w:lang w:eastAsia="ja-JP"/>
        </w:rPr>
      </w:pPr>
      <w:r>
        <w:rPr>
          <w:lang w:eastAsia="ja-JP"/>
        </w:rPr>
        <w:t>③ 青森県内の主要幹線道路、物流結節点周辺及び都市部ボトルネック区間について、防雪・消融雪施設を重点整備し、豪雪時の継続輸送を確保する。</w:t>
      </w:r>
    </w:p>
    <w:p w14:paraId="2F78A3BA" w14:textId="77777777" w:rsidR="00201FFA" w:rsidRDefault="00000000">
      <w:pPr>
        <w:pStyle w:val="1"/>
        <w:spacing w:after="60" w:line="360" w:lineRule="exact"/>
        <w:rPr>
          <w:lang w:eastAsia="ja-JP"/>
        </w:rPr>
      </w:pPr>
      <w:r>
        <w:rPr>
          <w:lang w:eastAsia="ja-JP"/>
        </w:rPr>
        <w:t>1</w:t>
      </w:r>
      <w:r>
        <w:rPr>
          <w:lang w:eastAsia="ja-JP"/>
        </w:rPr>
        <w:t>．本構想の基本認識</w:t>
      </w:r>
    </w:p>
    <w:p w14:paraId="422DE1A6" w14:textId="77777777" w:rsidR="00201FFA" w:rsidRDefault="00000000">
      <w:pPr>
        <w:spacing w:after="60" w:line="360" w:lineRule="exact"/>
        <w:rPr>
          <w:lang w:eastAsia="ja-JP"/>
        </w:rPr>
      </w:pPr>
      <w:r>
        <w:rPr>
          <w:lang w:eastAsia="ja-JP"/>
        </w:rPr>
        <w:t>本構想は、首都圏及び太平洋側に偏在する交通、物流及び結節機能の集中に伴う構造的脆弱性に対応し、我が国の国家継続性を支える広域交通・物流基盤を北日本側において再設計しようとするものである。とりわけ、陸奥湾メガフロート、港湾、空港、道路及び物流結節点を一体で整備</w:t>
      </w:r>
      <w:r>
        <w:rPr>
          <w:lang w:eastAsia="ja-JP"/>
        </w:rPr>
        <w:lastRenderedPageBreak/>
        <w:t>することにより、平時における輸送効率化と、災害時、豪雪時及び広域障害時における代替輸送及び継続輸送の確保を両立させることを目的とするものである。</w:t>
      </w:r>
    </w:p>
    <w:p w14:paraId="7536774A" w14:textId="77777777" w:rsidR="00201FFA" w:rsidRDefault="00000000">
      <w:pPr>
        <w:pStyle w:val="1"/>
        <w:spacing w:after="60" w:line="360" w:lineRule="exact"/>
        <w:rPr>
          <w:lang w:eastAsia="ja-JP"/>
        </w:rPr>
      </w:pPr>
      <w:r>
        <w:rPr>
          <w:lang w:eastAsia="ja-JP"/>
        </w:rPr>
        <w:t>2</w:t>
      </w:r>
      <w:r>
        <w:rPr>
          <w:lang w:eastAsia="ja-JP"/>
        </w:rPr>
        <w:t>．青森を重視する理由</w:t>
      </w:r>
    </w:p>
    <w:p w14:paraId="458B57DB" w14:textId="77777777" w:rsidR="00201FFA" w:rsidRDefault="00000000">
      <w:pPr>
        <w:spacing w:after="60" w:line="360" w:lineRule="exact"/>
        <w:rPr>
          <w:lang w:eastAsia="ja-JP"/>
        </w:rPr>
      </w:pPr>
      <w:r>
        <w:rPr>
          <w:lang w:eastAsia="ja-JP"/>
        </w:rPr>
        <w:t>本構想において青森を重視する理由は、日本海、太平洋、津軽海峡及び陸奥湾を同時に視野に収める地理的位置を有し、本州最北端の結節点として、北方物流、海峡物流及び国内幹線物流を接続し得る条件を備えているためである。加えて、豪雪地帯であることは制約である一方、冬期交通維持の先行実証地域としての政策的意義を有する。このため、青森は単なる地方拠点ではなく、交通、物流及び防災を接続する広域基盤整備の対象地域として整理することが適当である。</w:t>
      </w:r>
    </w:p>
    <w:p w14:paraId="0DB63DB6" w14:textId="77777777" w:rsidR="00201FFA" w:rsidRDefault="00000000">
      <w:pPr>
        <w:pStyle w:val="1"/>
        <w:spacing w:after="60" w:line="360" w:lineRule="exact"/>
        <w:rPr>
          <w:lang w:eastAsia="ja-JP"/>
        </w:rPr>
      </w:pPr>
      <w:r>
        <w:rPr>
          <w:lang w:eastAsia="ja-JP"/>
        </w:rPr>
        <w:t>3</w:t>
      </w:r>
      <w:r>
        <w:rPr>
          <w:lang w:eastAsia="ja-JP"/>
        </w:rPr>
        <w:t>．陸奥湾メガフロートの位置づけ</w:t>
      </w:r>
    </w:p>
    <w:p w14:paraId="236A17BB" w14:textId="77777777" w:rsidR="00201FFA" w:rsidRDefault="00000000">
      <w:pPr>
        <w:spacing w:after="60" w:line="360" w:lineRule="exact"/>
        <w:rPr>
          <w:lang w:eastAsia="ja-JP"/>
        </w:rPr>
      </w:pPr>
      <w:r>
        <w:rPr>
          <w:lang w:eastAsia="ja-JP"/>
        </w:rPr>
        <w:t>本構想の中核となるのは、陸奥湾メガフロートを単独施設としてではなく、港湾、空港、道路及び物流拠点の背後圏と接続した交通・物流・産業の中核拠点として位置づける考え方である。陸奥湾は、内湾としての安定性を有し、津軽海峡の国際接続性を受け止める地理的条件を持つことから、災害時又は広域障害時における代替輸送・代替拠点としての機能も期待される。したがって、メガフロートは新規施設の単独整備としてではなく、港湾、空港及び道路整備と連動した広域交通基盤の一部として整理することが適当である。</w:t>
      </w:r>
    </w:p>
    <w:p w14:paraId="381D25A5" w14:textId="77777777" w:rsidR="00201FFA" w:rsidRDefault="00000000">
      <w:pPr>
        <w:pStyle w:val="1"/>
        <w:spacing w:after="60" w:line="360" w:lineRule="exact"/>
        <w:rPr>
          <w:lang w:eastAsia="ja-JP"/>
        </w:rPr>
      </w:pPr>
      <w:r>
        <w:rPr>
          <w:lang w:eastAsia="ja-JP"/>
        </w:rPr>
        <w:t>4</w:t>
      </w:r>
      <w:r>
        <w:rPr>
          <w:lang w:eastAsia="ja-JP"/>
        </w:rPr>
        <w:t>．港湾・空港・道路の一体整備</w:t>
      </w:r>
    </w:p>
    <w:p w14:paraId="5139F412" w14:textId="77777777" w:rsidR="00201FFA" w:rsidRDefault="00000000">
      <w:pPr>
        <w:spacing w:after="60" w:line="360" w:lineRule="exact"/>
        <w:rPr>
          <w:lang w:eastAsia="ja-JP"/>
        </w:rPr>
      </w:pPr>
      <w:r>
        <w:rPr>
          <w:lang w:eastAsia="ja-JP"/>
        </w:rPr>
        <w:t>国土交通政策上、特に重要なのは、港湾、空港及び道路を個別の整備対象としてではなく、一体の輸送系として整理する点にある。すなわち、港湾機能、空港機能、背後道路及び物流結節点を連続的に接続し、陸奥湾メガフロートを含む新たな物流中核と既存幹線網を接続することにより、輸送効率の改善と代替性の確保を同時に図る必要がある。この意味で本構想は、単なる施設増設ではなく、北日本全体の交通・物流ネットワークの再構成を企図するものである。</w:t>
      </w:r>
    </w:p>
    <w:p w14:paraId="37553B2B" w14:textId="77777777" w:rsidR="00201FFA" w:rsidRDefault="00000000">
      <w:pPr>
        <w:pStyle w:val="1"/>
        <w:spacing w:after="60" w:line="360" w:lineRule="exact"/>
        <w:rPr>
          <w:lang w:eastAsia="ja-JP"/>
        </w:rPr>
      </w:pPr>
      <w:r>
        <w:rPr>
          <w:lang w:eastAsia="ja-JP"/>
        </w:rPr>
        <w:t>5</w:t>
      </w:r>
      <w:r>
        <w:rPr>
          <w:lang w:eastAsia="ja-JP"/>
        </w:rPr>
        <w:t>．豪雪対応と主要道路融雪化</w:t>
      </w:r>
    </w:p>
    <w:p w14:paraId="5BCBB849" w14:textId="77777777" w:rsidR="00201FFA" w:rsidRDefault="00000000">
      <w:pPr>
        <w:spacing w:after="60" w:line="360" w:lineRule="exact"/>
        <w:rPr>
          <w:lang w:eastAsia="ja-JP"/>
        </w:rPr>
      </w:pPr>
      <w:r>
        <w:rPr>
          <w:lang w:eastAsia="ja-JP"/>
        </w:rPr>
        <w:t>本構想の特徴は、豪雪対応を交通政策の中に明確に位置づけている点にある。青森県内の主要幹線道路、物流結節点周辺及び都市部のボトルネック区間について、防雪・消融雪施設を重点整備し、冬期における交通途絶を回避することは、平時の物流効率化にとどまらず、災害時及び緊急時の輸送維持にも直結する。このため、主要道路の重点融雪化は、単なる生活利便性向上策ではなく、国家継続性を支える道路政策として位置づけることが適当である。</w:t>
      </w:r>
    </w:p>
    <w:p w14:paraId="3169B64A" w14:textId="77777777" w:rsidR="00201FFA" w:rsidRDefault="00000000">
      <w:pPr>
        <w:pStyle w:val="1"/>
        <w:spacing w:after="60" w:line="360" w:lineRule="exact"/>
        <w:rPr>
          <w:lang w:eastAsia="ja-JP"/>
        </w:rPr>
      </w:pPr>
      <w:r>
        <w:rPr>
          <w:lang w:eastAsia="ja-JP"/>
        </w:rPr>
        <w:lastRenderedPageBreak/>
        <w:t>6</w:t>
      </w:r>
      <w:r>
        <w:rPr>
          <w:lang w:eastAsia="ja-JP"/>
        </w:rPr>
        <w:t>．第一の矢との接続</w:t>
      </w:r>
    </w:p>
    <w:p w14:paraId="3F8312B2" w14:textId="77777777" w:rsidR="00201FFA" w:rsidRDefault="00000000">
      <w:pPr>
        <w:spacing w:after="60" w:line="360" w:lineRule="exact"/>
        <w:rPr>
          <w:lang w:eastAsia="ja-JP"/>
        </w:rPr>
      </w:pPr>
      <w:r>
        <w:rPr>
          <w:lang w:eastAsia="ja-JP"/>
        </w:rPr>
        <w:t>さらに、本構想は第一の矢と接続している。すなわち、エネルギー基盤、データセンター、半導体後工程及び関連材料産業の立地は、港湾、空港、道路及び物流網の整備なくして成立しない。他方、交通・物流基盤の整備は、産業立地、計算基盤形成及び地域定着を下支えする。このように、国土交通省が担う空間実装は、本構想全体の産業政策及び国家継続性構想の基礎条件として位置づけることができる。</w:t>
      </w:r>
    </w:p>
    <w:p w14:paraId="2270FA07" w14:textId="77777777" w:rsidR="00201FFA" w:rsidRDefault="00000000">
      <w:pPr>
        <w:pStyle w:val="1"/>
        <w:spacing w:after="60" w:line="360" w:lineRule="exact"/>
        <w:rPr>
          <w:lang w:eastAsia="ja-JP"/>
        </w:rPr>
      </w:pPr>
      <w:r>
        <w:rPr>
          <w:lang w:eastAsia="ja-JP"/>
        </w:rPr>
        <w:t>7</w:t>
      </w:r>
      <w:r>
        <w:rPr>
          <w:lang w:eastAsia="ja-JP"/>
        </w:rPr>
        <w:t>．結論</w:t>
      </w:r>
    </w:p>
    <w:p w14:paraId="63349D55" w14:textId="77777777" w:rsidR="00201FFA" w:rsidRDefault="00000000">
      <w:pPr>
        <w:spacing w:after="60" w:line="360" w:lineRule="exact"/>
        <w:rPr>
          <w:lang w:eastAsia="ja-JP"/>
        </w:rPr>
      </w:pPr>
      <w:r>
        <w:rPr>
          <w:lang w:eastAsia="ja-JP"/>
        </w:rPr>
        <w:t>以上のとおり、本構想は、地方振興を主目的とするものではなく、港湾、空港、道路、物流拠点及び冬期交通維持を一体で再設計することにより、北日本を国家交通基盤の受け皿へ転換しようとするものである。国土交通省向け説明においては、陸奥湾メガフロートの交通・物流拠点性、港湾・空港・道路の一体整備、主要道路の重点融雪化、広域物流ネットワークの再設計及び災害時・豪雪時の継続輸送確保を中心に整理することが適当である。</w:t>
      </w:r>
    </w:p>
    <w:p w14:paraId="7484A7F5" w14:textId="77777777" w:rsidR="00201FFA" w:rsidRDefault="00000000">
      <w:pPr>
        <w:spacing w:before="120" w:line="240" w:lineRule="exact"/>
        <w:rPr>
          <w:lang w:eastAsia="ja-JP"/>
        </w:rPr>
      </w:pPr>
      <w:r>
        <w:rPr>
          <w:sz w:val="17"/>
          <w:lang w:eastAsia="ja-JP"/>
        </w:rPr>
        <w:t>注）本資料は説明用整理案であり、記載内容については、今後、制度、既存インフラとの整合性、施工条件及び段階的整備の実現可能性等を踏まえてさらに精査する前提である。</w:t>
      </w:r>
    </w:p>
    <w:sectPr w:rsidR="00201FFA" w:rsidSect="00034616">
      <w:pgSz w:w="12240" w:h="15840"/>
      <w:pgMar w:top="1417" w:right="1531" w:bottom="1417" w:left="153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16cid:durableId="2068724111">
    <w:abstractNumId w:val="8"/>
  </w:num>
  <w:num w:numId="2" w16cid:durableId="1454904068">
    <w:abstractNumId w:val="6"/>
  </w:num>
  <w:num w:numId="3" w16cid:durableId="1238859722">
    <w:abstractNumId w:val="5"/>
  </w:num>
  <w:num w:numId="4" w16cid:durableId="1138259577">
    <w:abstractNumId w:val="4"/>
  </w:num>
  <w:num w:numId="5" w16cid:durableId="1041982591">
    <w:abstractNumId w:val="7"/>
  </w:num>
  <w:num w:numId="6" w16cid:durableId="1577397689">
    <w:abstractNumId w:val="3"/>
  </w:num>
  <w:num w:numId="7" w16cid:durableId="466044462">
    <w:abstractNumId w:val="2"/>
  </w:num>
  <w:num w:numId="8" w16cid:durableId="1688944842">
    <w:abstractNumId w:val="1"/>
  </w:num>
  <w:num w:numId="9" w16cid:durableId="231419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01FFA"/>
    <w:rsid w:val="0029639D"/>
    <w:rsid w:val="00326F90"/>
    <w:rsid w:val="00362AC0"/>
    <w:rsid w:val="00AA1D8D"/>
    <w:rsid w:val="00B47730"/>
    <w:rsid w:val="00CB0664"/>
    <w:rsid w:val="00FC693F"/>
    <w:rsid w:val="00FE0C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v:textbox inset="5.85pt,.7pt,5.85pt,.7pt"/>
    </o:shapedefaults>
    <o:shapelayout v:ext="edit">
      <o:idmap v:ext="edit" data="1"/>
    </o:shapelayout>
  </w:shapeDefaults>
  <w:decimalSymbol w:val="."/>
  <w:listSeparator w:val=","/>
  <w14:docId w14:val="08FA4683"/>
  <w14:defaultImageDpi w14:val="300"/>
  <w15:docId w15:val="{ED130181-9240-4B54-9413-1B6D09570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rPr>
      <w:rFonts w:ascii="游明朝" w:eastAsia="游明朝" w:hAnsi="游明朝"/>
      <w:sz w:val="21"/>
    </w:rPr>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6"/>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3"/>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ヘッダー (文字)"/>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フッター (文字)"/>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見出し 1 (文字)"/>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見出し 2 (文字)"/>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見出し 3 (文字)"/>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b/>
      <w:color w:val="17365D" w:themeColor="text2" w:themeShade="BF"/>
      <w:spacing w:val="5"/>
      <w:kern w:val="28"/>
      <w:sz w:val="32"/>
      <w:szCs w:val="52"/>
    </w:rPr>
  </w:style>
  <w:style w:type="character" w:customStyle="1" w:styleId="ab">
    <w:name w:val="表題 (文字)"/>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b/>
      <w:i/>
      <w:iCs/>
      <w:color w:val="4F81BD" w:themeColor="accent1"/>
      <w:spacing w:val="15"/>
      <w:sz w:val="24"/>
      <w:szCs w:val="24"/>
    </w:rPr>
  </w:style>
  <w:style w:type="character" w:customStyle="1" w:styleId="ad">
    <w:name w:val="副題 (文字)"/>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本文 (文字)"/>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本文 2 (文字)"/>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本文 3 (文字)"/>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マクロ文字列 (文字)"/>
    <w:basedOn w:val="a2"/>
    <w:link w:val="af3"/>
    <w:uiPriority w:val="99"/>
    <w:rsid w:val="0029639D"/>
    <w:rPr>
      <w:rFonts w:ascii="Courier" w:hAnsi="Courier"/>
      <w:sz w:val="20"/>
      <w:szCs w:val="20"/>
    </w:rPr>
  </w:style>
  <w:style w:type="paragraph" w:styleId="af5">
    <w:name w:val="Quote"/>
    <w:basedOn w:val="a1"/>
    <w:next w:val="a1"/>
    <w:link w:val="af6"/>
    <w:uiPriority w:val="29"/>
    <w:qFormat/>
    <w:rsid w:val="00FC693F"/>
    <w:rPr>
      <w:i/>
      <w:iCs/>
      <w:color w:val="000000" w:themeColor="text1"/>
    </w:rPr>
  </w:style>
  <w:style w:type="character" w:customStyle="1" w:styleId="af6">
    <w:name w:val="引用文 (文字)"/>
    <w:basedOn w:val="a2"/>
    <w:link w:val="af5"/>
    <w:uiPriority w:val="29"/>
    <w:rsid w:val="00FC693F"/>
    <w:rPr>
      <w:i/>
      <w:iCs/>
      <w:color w:val="000000" w:themeColor="text1"/>
    </w:rPr>
  </w:style>
  <w:style w:type="character" w:customStyle="1" w:styleId="40">
    <w:name w:val="見出し 4 (文字)"/>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見出し 5 (文字)"/>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見出し 6 (文字)"/>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見出し 7 (文字)"/>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見出し 8 (文字)"/>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見出し 9 (文字)"/>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8">
    <w:name w:val="Strong"/>
    <w:basedOn w:val="a2"/>
    <w:uiPriority w:val="22"/>
    <w:qFormat/>
    <w:rsid w:val="00FC693F"/>
    <w:rPr>
      <w:b/>
      <w:bCs/>
    </w:rPr>
  </w:style>
  <w:style w:type="character" w:styleId="af9">
    <w:name w:val="Emphasis"/>
    <w:basedOn w:val="a2"/>
    <w:uiPriority w:val="20"/>
    <w:qFormat/>
    <w:rsid w:val="00FC693F"/>
    <w:rPr>
      <w:i/>
      <w:iCs/>
    </w:rPr>
  </w:style>
  <w:style w:type="paragraph" w:styleId="27">
    <w:name w:val="Intense Quote"/>
    <w:basedOn w:val="a1"/>
    <w:next w:val="a1"/>
    <w:link w:val="28"/>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28">
    <w:name w:val="引用文 2 (文字)"/>
    <w:basedOn w:val="a2"/>
    <w:link w:val="27"/>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29">
    <w:name w:val="Intense Emphasis"/>
    <w:basedOn w:val="a2"/>
    <w:uiPriority w:val="21"/>
    <w:qFormat/>
    <w:rsid w:val="00FC693F"/>
    <w:rPr>
      <w:b/>
      <w:bCs/>
      <w:i/>
      <w:iCs/>
      <w:color w:val="4F81BD" w:themeColor="accent1"/>
    </w:rPr>
  </w:style>
  <w:style w:type="character" w:styleId="afb">
    <w:name w:val="Subtle Reference"/>
    <w:basedOn w:val="a2"/>
    <w:uiPriority w:val="31"/>
    <w:qFormat/>
    <w:rsid w:val="00FC693F"/>
    <w:rPr>
      <w:smallCaps/>
      <w:color w:val="C0504D" w:themeColor="accent2"/>
      <w:u w:val="single"/>
    </w:rPr>
  </w:style>
  <w:style w:type="character" w:styleId="2a">
    <w:name w:val="Intense Reference"/>
    <w:basedOn w:val="a2"/>
    <w:uiPriority w:val="32"/>
    <w:qFormat/>
    <w:rsid w:val="00FC693F"/>
    <w:rPr>
      <w:b/>
      <w:bCs/>
      <w:smallCaps/>
      <w:color w:val="C0504D" w:themeColor="accent2"/>
      <w:spacing w:val="5"/>
      <w:u w:val="single"/>
    </w:rPr>
  </w:style>
  <w:style w:type="character" w:styleId="afc">
    <w:name w:val="Book Title"/>
    <w:basedOn w:val="a2"/>
    <w:uiPriority w:val="33"/>
    <w:qFormat/>
    <w:rsid w:val="00FC693F"/>
    <w:rPr>
      <w:b/>
      <w:bCs/>
      <w:smallCaps/>
      <w:spacing w:val="5"/>
    </w:rPr>
  </w:style>
  <w:style w:type="paragraph" w:styleId="afd">
    <w:name w:val="TOC Heading"/>
    <w:basedOn w:val="1"/>
    <w:next w:val="a1"/>
    <w:uiPriority w:val="39"/>
    <w:semiHidden/>
    <w:unhideWhenUsed/>
    <w:qFormat/>
    <w:rsid w:val="00FC693F"/>
    <w:pPr>
      <w:outlineLvl w:val="9"/>
    </w:pPr>
  </w:style>
  <w:style w:type="table" w:styleId="afe">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2">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3">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14">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15">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16">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17">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b">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d">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2e">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2f">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2f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2f1">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7">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38">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39">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a">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3b">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3c">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d">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4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42">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43">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44">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45">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46">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47">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51">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2">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3">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4">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5">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6">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7">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1">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62">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63">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64">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65">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66">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67">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71">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2">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3">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4">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75">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76">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82">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83">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4">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5">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6">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7">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92">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93">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100">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10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0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10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10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10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10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10">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11">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11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113">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4">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5">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6">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120">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1">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122">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12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24">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125">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126">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130">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31">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32">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133">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3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35">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136">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140">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41">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42">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43">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4">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4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46">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mallHeader">
    <w:name w:val="SmallHeader"/>
    <w:basedOn w:val="a1"/>
    <w:rsid w:val="00362AC0"/>
    <w:pPr>
      <w:spacing w:after="160" w:line="288" w:lineRule="auto"/>
      <w:jc w:val="right"/>
    </w:pPr>
    <w:rPr>
      <w:rFonts w:ascii="ＭＳ 明朝" w:eastAsia="ＭＳ 明朝" w:hAnsi="ＭＳ 明朝"/>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346</Words>
  <Characters>1977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葬祭 天龍</cp:lastModifiedBy>
  <cp:revision>2</cp:revision>
  <dcterms:created xsi:type="dcterms:W3CDTF">2013-12-23T23:15:00Z</dcterms:created>
  <dcterms:modified xsi:type="dcterms:W3CDTF">2026-04-13T10:51:00Z</dcterms:modified>
  <cp:category/>
</cp:coreProperties>
</file>