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59E4F" w14:textId="77777777" w:rsidR="003E4275" w:rsidRDefault="003E4275" w:rsidP="003E4275">
      <w:pPr>
        <w:pStyle w:val="SmallHeader"/>
        <w:jc w:val="center"/>
        <w:rPr>
          <w:lang w:eastAsia="ja-JP"/>
        </w:rPr>
      </w:pPr>
    </w:p>
    <w:p w14:paraId="29E72BD2" w14:textId="77777777" w:rsidR="003E4275" w:rsidRDefault="003E4275" w:rsidP="003E4275">
      <w:pPr>
        <w:pStyle w:val="SmallHeader"/>
        <w:rPr>
          <w:lang w:eastAsia="ja-JP"/>
        </w:rPr>
      </w:pPr>
    </w:p>
    <w:p w14:paraId="2488D927" w14:textId="77777777" w:rsidR="003E4275" w:rsidRDefault="003E4275" w:rsidP="003E4275">
      <w:pPr>
        <w:pStyle w:val="SmallHeader"/>
        <w:rPr>
          <w:lang w:eastAsia="ja-JP"/>
        </w:rPr>
      </w:pPr>
    </w:p>
    <w:p w14:paraId="30FF7A0C" w14:textId="77777777" w:rsidR="003E4275" w:rsidRDefault="003E4275" w:rsidP="003E4275">
      <w:pPr>
        <w:pStyle w:val="SmallHeader"/>
        <w:rPr>
          <w:lang w:eastAsia="ja-JP"/>
        </w:rPr>
      </w:pPr>
    </w:p>
    <w:p w14:paraId="1D4EB035" w14:textId="77777777" w:rsidR="003E4275" w:rsidRPr="003E4275" w:rsidRDefault="003E4275" w:rsidP="003E4275">
      <w:pPr>
        <w:pStyle w:val="SmallHeader"/>
        <w:jc w:val="center"/>
        <w:rPr>
          <w:sz w:val="36"/>
          <w:szCs w:val="48"/>
          <w:lang w:eastAsia="ja-JP"/>
        </w:rPr>
      </w:pPr>
      <w:r w:rsidRPr="003E4275">
        <w:rPr>
          <w:rFonts w:hint="eastAsia"/>
          <w:sz w:val="36"/>
          <w:szCs w:val="48"/>
          <w:lang w:eastAsia="ja-JP"/>
        </w:rPr>
        <w:t>北日本戦略再設計構想</w:t>
      </w:r>
    </w:p>
    <w:p w14:paraId="6ECAB3F9" w14:textId="77777777" w:rsidR="003E4275" w:rsidRPr="003E4275" w:rsidRDefault="003E4275" w:rsidP="003E4275">
      <w:pPr>
        <w:pStyle w:val="SmallHeader"/>
        <w:jc w:val="center"/>
        <w:rPr>
          <w:sz w:val="36"/>
          <w:szCs w:val="48"/>
          <w:lang w:eastAsia="ja-JP"/>
        </w:rPr>
      </w:pPr>
      <w:r w:rsidRPr="003E4275">
        <w:rPr>
          <w:rFonts w:hint="eastAsia"/>
          <w:sz w:val="36"/>
          <w:szCs w:val="48"/>
          <w:lang w:eastAsia="ja-JP"/>
        </w:rPr>
        <w:t>【厚生労働省向け説明資料】</w:t>
      </w:r>
    </w:p>
    <w:p w14:paraId="4CB712FF" w14:textId="77777777" w:rsidR="003E4275" w:rsidRDefault="003E4275" w:rsidP="003E4275">
      <w:pPr>
        <w:pStyle w:val="SmallHeader"/>
        <w:jc w:val="center"/>
        <w:rPr>
          <w:sz w:val="36"/>
          <w:szCs w:val="48"/>
          <w:lang w:eastAsia="ja-JP"/>
        </w:rPr>
      </w:pPr>
      <w:r w:rsidRPr="003E4275">
        <w:rPr>
          <w:rFonts w:hint="eastAsia"/>
          <w:sz w:val="36"/>
          <w:szCs w:val="48"/>
          <w:lang w:eastAsia="ja-JP"/>
        </w:rPr>
        <w:t>就労継続・重症化予防</w:t>
      </w:r>
    </w:p>
    <w:p w14:paraId="10B83B90" w14:textId="7DC6BFC0" w:rsidR="003E4275" w:rsidRPr="007C7587" w:rsidRDefault="003E4275" w:rsidP="003E4275">
      <w:pPr>
        <w:pStyle w:val="SmallHeader"/>
        <w:jc w:val="center"/>
        <w:rPr>
          <w:sz w:val="36"/>
          <w:szCs w:val="48"/>
          <w:lang w:eastAsia="ja-JP"/>
        </w:rPr>
      </w:pPr>
      <w:r w:rsidRPr="003E4275">
        <w:rPr>
          <w:rFonts w:hint="eastAsia"/>
          <w:sz w:val="36"/>
          <w:szCs w:val="48"/>
          <w:lang w:eastAsia="ja-JP"/>
        </w:rPr>
        <w:t>制度持続性向上に関する説明資料</w:t>
      </w:r>
    </w:p>
    <w:p w14:paraId="06D1CA80" w14:textId="77777777" w:rsidR="003E4275" w:rsidRDefault="003E4275" w:rsidP="003E4275">
      <w:pPr>
        <w:pStyle w:val="SmallHeader"/>
        <w:jc w:val="center"/>
        <w:rPr>
          <w:lang w:eastAsia="ja-JP"/>
        </w:rPr>
      </w:pPr>
    </w:p>
    <w:p w14:paraId="3952330B" w14:textId="77777777" w:rsidR="003E4275" w:rsidRDefault="003E4275" w:rsidP="003E4275">
      <w:pPr>
        <w:pStyle w:val="SmallHeader"/>
        <w:jc w:val="center"/>
        <w:rPr>
          <w:lang w:eastAsia="ja-JP"/>
        </w:rPr>
      </w:pPr>
    </w:p>
    <w:p w14:paraId="217CFCB9" w14:textId="77777777" w:rsidR="003E4275" w:rsidRDefault="003E4275" w:rsidP="003E4275">
      <w:pPr>
        <w:pStyle w:val="SmallHeader"/>
        <w:jc w:val="center"/>
        <w:rPr>
          <w:lang w:eastAsia="ja-JP"/>
        </w:rPr>
      </w:pPr>
    </w:p>
    <w:p w14:paraId="52F802DF" w14:textId="77777777" w:rsidR="003E4275" w:rsidRDefault="003E4275" w:rsidP="003E4275">
      <w:pPr>
        <w:pStyle w:val="SmallHeader"/>
        <w:jc w:val="center"/>
        <w:rPr>
          <w:rFonts w:hint="eastAsia"/>
          <w:lang w:eastAsia="ja-JP"/>
        </w:rPr>
      </w:pPr>
    </w:p>
    <w:p w14:paraId="0F9311A9" w14:textId="77777777" w:rsidR="003E4275" w:rsidRPr="007C7587" w:rsidRDefault="003E4275" w:rsidP="003E4275">
      <w:pPr>
        <w:pStyle w:val="SmallHeader"/>
        <w:jc w:val="center"/>
        <w:rPr>
          <w:sz w:val="22"/>
          <w:szCs w:val="32"/>
          <w:lang w:eastAsia="ja-JP"/>
        </w:rPr>
      </w:pPr>
      <w:r w:rsidRPr="007C7587">
        <w:rPr>
          <w:rFonts w:hint="eastAsia"/>
          <w:sz w:val="22"/>
          <w:szCs w:val="32"/>
          <w:lang w:eastAsia="ja-JP"/>
        </w:rPr>
        <w:t>提出者：新岡</w:t>
      </w:r>
      <w:r w:rsidRPr="007C7587">
        <w:rPr>
          <w:sz w:val="22"/>
          <w:szCs w:val="32"/>
          <w:lang w:eastAsia="ja-JP"/>
        </w:rPr>
        <w:t xml:space="preserve"> 昌心</w:t>
      </w:r>
    </w:p>
    <w:p w14:paraId="18194269" w14:textId="77777777" w:rsidR="003E4275" w:rsidRPr="007C7587" w:rsidRDefault="003E4275" w:rsidP="003E4275">
      <w:pPr>
        <w:pStyle w:val="SmallHeader"/>
        <w:jc w:val="center"/>
        <w:rPr>
          <w:sz w:val="22"/>
          <w:szCs w:val="32"/>
          <w:lang w:eastAsia="ja-JP"/>
        </w:rPr>
      </w:pPr>
      <w:r w:rsidRPr="007C7587">
        <w:rPr>
          <w:rFonts w:hint="eastAsia"/>
          <w:sz w:val="22"/>
          <w:szCs w:val="32"/>
          <w:lang w:eastAsia="ja-JP"/>
        </w:rPr>
        <w:t>提出日：令和○年○月○日</w:t>
      </w:r>
    </w:p>
    <w:p w14:paraId="5DC3105D" w14:textId="77777777" w:rsidR="003E4275" w:rsidRPr="003E4275" w:rsidRDefault="003E4275">
      <w:pPr>
        <w:spacing w:after="60" w:line="360" w:lineRule="exact"/>
        <w:jc w:val="right"/>
        <w:rPr>
          <w:sz w:val="18"/>
          <w:lang w:eastAsia="ja-JP"/>
        </w:rPr>
      </w:pPr>
    </w:p>
    <w:p w14:paraId="01DADC34" w14:textId="77777777" w:rsidR="003E4275" w:rsidRDefault="003E4275">
      <w:pPr>
        <w:spacing w:after="60" w:line="360" w:lineRule="exact"/>
        <w:jc w:val="right"/>
        <w:rPr>
          <w:sz w:val="18"/>
          <w:lang w:eastAsia="ja-JP"/>
        </w:rPr>
      </w:pPr>
    </w:p>
    <w:p w14:paraId="665A663A" w14:textId="77777777" w:rsidR="003E4275" w:rsidRDefault="003E4275">
      <w:pPr>
        <w:spacing w:after="60" w:line="360" w:lineRule="exact"/>
        <w:jc w:val="right"/>
        <w:rPr>
          <w:sz w:val="18"/>
          <w:lang w:eastAsia="ja-JP"/>
        </w:rPr>
      </w:pPr>
    </w:p>
    <w:p w14:paraId="5C590B30" w14:textId="77777777" w:rsidR="003E4275" w:rsidRDefault="003E4275">
      <w:pPr>
        <w:spacing w:after="60" w:line="360" w:lineRule="exact"/>
        <w:jc w:val="right"/>
        <w:rPr>
          <w:sz w:val="18"/>
          <w:lang w:eastAsia="ja-JP"/>
        </w:rPr>
      </w:pPr>
    </w:p>
    <w:p w14:paraId="63CCE0A1" w14:textId="77777777" w:rsidR="003E4275" w:rsidRDefault="003E4275">
      <w:pPr>
        <w:spacing w:after="60" w:line="360" w:lineRule="exact"/>
        <w:jc w:val="right"/>
        <w:rPr>
          <w:sz w:val="18"/>
          <w:lang w:eastAsia="ja-JP"/>
        </w:rPr>
      </w:pPr>
    </w:p>
    <w:p w14:paraId="3469BCF6" w14:textId="77777777" w:rsidR="003E4275" w:rsidRDefault="003E4275">
      <w:pPr>
        <w:spacing w:after="60" w:line="360" w:lineRule="exact"/>
        <w:jc w:val="right"/>
        <w:rPr>
          <w:sz w:val="18"/>
          <w:lang w:eastAsia="ja-JP"/>
        </w:rPr>
      </w:pPr>
    </w:p>
    <w:p w14:paraId="56756D11" w14:textId="77777777" w:rsidR="003E4275" w:rsidRDefault="003E4275">
      <w:pPr>
        <w:spacing w:after="60" w:line="360" w:lineRule="exact"/>
        <w:jc w:val="right"/>
        <w:rPr>
          <w:sz w:val="18"/>
          <w:lang w:eastAsia="ja-JP"/>
        </w:rPr>
      </w:pPr>
    </w:p>
    <w:p w14:paraId="1ECE55A1" w14:textId="77777777" w:rsidR="003E4275" w:rsidRDefault="003E4275">
      <w:pPr>
        <w:spacing w:after="60" w:line="360" w:lineRule="exact"/>
        <w:jc w:val="right"/>
        <w:rPr>
          <w:sz w:val="18"/>
          <w:lang w:eastAsia="ja-JP"/>
        </w:rPr>
      </w:pPr>
    </w:p>
    <w:p w14:paraId="5FE82AEB" w14:textId="77777777" w:rsidR="003E4275" w:rsidRDefault="003E4275">
      <w:pPr>
        <w:spacing w:after="60" w:line="360" w:lineRule="exact"/>
        <w:jc w:val="right"/>
        <w:rPr>
          <w:sz w:val="18"/>
          <w:lang w:eastAsia="ja-JP"/>
        </w:rPr>
      </w:pPr>
    </w:p>
    <w:p w14:paraId="282292E1" w14:textId="77777777" w:rsidR="003E4275" w:rsidRDefault="003E4275">
      <w:pPr>
        <w:spacing w:after="60" w:line="360" w:lineRule="exact"/>
        <w:jc w:val="right"/>
        <w:rPr>
          <w:sz w:val="18"/>
          <w:lang w:eastAsia="ja-JP"/>
        </w:rPr>
      </w:pPr>
    </w:p>
    <w:p w14:paraId="568BC799" w14:textId="77777777" w:rsidR="003E4275" w:rsidRDefault="003E4275">
      <w:pPr>
        <w:spacing w:after="60" w:line="360" w:lineRule="exact"/>
        <w:jc w:val="right"/>
        <w:rPr>
          <w:rFonts w:hint="eastAsia"/>
          <w:sz w:val="18"/>
          <w:lang w:eastAsia="ja-JP"/>
        </w:rPr>
      </w:pPr>
    </w:p>
    <w:p w14:paraId="2724E51D" w14:textId="77777777" w:rsidR="003E4275" w:rsidRDefault="003E4275">
      <w:pPr>
        <w:spacing w:after="60" w:line="360" w:lineRule="exact"/>
        <w:jc w:val="right"/>
        <w:rPr>
          <w:sz w:val="18"/>
          <w:lang w:eastAsia="ja-JP"/>
        </w:rPr>
      </w:pPr>
    </w:p>
    <w:p w14:paraId="4D851CF3" w14:textId="77777777" w:rsidR="003E4275" w:rsidRDefault="003E4275">
      <w:pPr>
        <w:spacing w:after="60" w:line="360" w:lineRule="exact"/>
        <w:jc w:val="right"/>
        <w:rPr>
          <w:sz w:val="18"/>
          <w:lang w:eastAsia="ja-JP"/>
        </w:rPr>
      </w:pPr>
    </w:p>
    <w:p w14:paraId="71D80A4B" w14:textId="4D7646C0" w:rsidR="00F9583B" w:rsidRDefault="00000000">
      <w:pPr>
        <w:spacing w:after="60" w:line="360" w:lineRule="exact"/>
        <w:jc w:val="right"/>
        <w:rPr>
          <w:lang w:eastAsia="ja-JP"/>
        </w:rPr>
      </w:pPr>
      <w:r>
        <w:rPr>
          <w:sz w:val="18"/>
          <w:lang w:eastAsia="ja-JP"/>
        </w:rPr>
        <w:lastRenderedPageBreak/>
        <w:t>厚生労働省向け／説明資料（案）</w:t>
      </w:r>
    </w:p>
    <w:p w14:paraId="080FCB5F" w14:textId="77777777" w:rsidR="00F9583B" w:rsidRDefault="00000000">
      <w:pPr>
        <w:pStyle w:val="aa"/>
        <w:spacing w:after="120" w:line="360" w:lineRule="exact"/>
        <w:jc w:val="center"/>
        <w:rPr>
          <w:lang w:eastAsia="ja-JP"/>
        </w:rPr>
      </w:pPr>
      <w:r>
        <w:rPr>
          <w:lang w:eastAsia="ja-JP"/>
        </w:rPr>
        <w:t>北日本戦略再設計構想</w:t>
      </w:r>
    </w:p>
    <w:p w14:paraId="60F9B32F" w14:textId="77777777" w:rsidR="00F9583B" w:rsidRDefault="00000000">
      <w:pPr>
        <w:pStyle w:val="ac"/>
        <w:spacing w:after="60" w:line="360" w:lineRule="exact"/>
        <w:jc w:val="center"/>
        <w:rPr>
          <w:lang w:eastAsia="ja-JP"/>
        </w:rPr>
      </w:pPr>
      <w:r>
        <w:rPr>
          <w:lang w:eastAsia="ja-JP"/>
        </w:rPr>
        <w:t>社会支援基盤・適正支援パーソナライズ・制度持続性に関する説明資料</w:t>
      </w:r>
    </w:p>
    <w:p w14:paraId="665BEA56" w14:textId="77777777" w:rsidR="00F9583B" w:rsidRDefault="00000000">
      <w:pPr>
        <w:pStyle w:val="ac"/>
        <w:spacing w:after="240" w:line="360" w:lineRule="exact"/>
        <w:jc w:val="center"/>
        <w:rPr>
          <w:lang w:eastAsia="ja-JP"/>
        </w:rPr>
      </w:pPr>
      <w:r>
        <w:rPr>
          <w:lang w:eastAsia="ja-JP"/>
        </w:rPr>
        <w:t>（厚生労働省向け）</w:t>
      </w:r>
    </w:p>
    <w:p w14:paraId="6F39E465" w14:textId="77777777" w:rsidR="00F9583B" w:rsidRDefault="00000000">
      <w:pPr>
        <w:pStyle w:val="21"/>
        <w:spacing w:after="60" w:line="360" w:lineRule="exact"/>
        <w:rPr>
          <w:lang w:eastAsia="ja-JP"/>
        </w:rPr>
      </w:pPr>
      <w:r>
        <w:rPr>
          <w:lang w:eastAsia="ja-JP"/>
        </w:rPr>
        <w:t>作成目的</w:t>
      </w:r>
    </w:p>
    <w:p w14:paraId="1AFBD9E6" w14:textId="77777777" w:rsidR="00F9583B" w:rsidRDefault="00000000">
      <w:pPr>
        <w:spacing w:after="60" w:line="360" w:lineRule="exact"/>
        <w:rPr>
          <w:lang w:eastAsia="ja-JP"/>
        </w:rPr>
      </w:pPr>
      <w:r>
        <w:rPr>
          <w:lang w:eastAsia="ja-JP"/>
        </w:rPr>
        <w:t>本資料は、北日本戦略再設計構想について、社会支援基盤、適正支援パーソナライズ、就労継続、重症化予防及び制度持続性の観点から整理し、厚生労働省向け説明用資料として取りまとめるものである。</w:t>
      </w:r>
    </w:p>
    <w:p w14:paraId="4AE312E9" w14:textId="77777777" w:rsidR="00F9583B" w:rsidRDefault="00000000">
      <w:pPr>
        <w:pStyle w:val="21"/>
        <w:spacing w:after="60" w:line="360" w:lineRule="exact"/>
        <w:rPr>
          <w:lang w:eastAsia="ja-JP"/>
        </w:rPr>
      </w:pPr>
      <w:r>
        <w:rPr>
          <w:lang w:eastAsia="ja-JP"/>
        </w:rPr>
        <w:t>位置づけ</w:t>
      </w:r>
    </w:p>
    <w:p w14:paraId="045963FE" w14:textId="77777777" w:rsidR="00F9583B" w:rsidRDefault="00000000">
      <w:pPr>
        <w:spacing w:after="60" w:line="360" w:lineRule="exact"/>
        <w:rPr>
          <w:lang w:eastAsia="ja-JP"/>
        </w:rPr>
      </w:pPr>
      <w:r>
        <w:rPr>
          <w:lang w:eastAsia="ja-JP"/>
        </w:rPr>
        <w:t>本資料は総合版から厚生労働省向け論点を抽出した説明資料であり、記載内容については、今後、障害福祉、医療・介護・福祉データ連携、制度設計及び既存施策との整合性を踏まえてさらに精査する前提で整理したものである。</w:t>
      </w:r>
    </w:p>
    <w:p w14:paraId="745DB799" w14:textId="77777777" w:rsidR="00F9583B" w:rsidRDefault="00000000">
      <w:pPr>
        <w:pStyle w:val="1"/>
        <w:spacing w:after="60" w:line="360" w:lineRule="exact"/>
        <w:rPr>
          <w:lang w:eastAsia="ja-JP"/>
        </w:rPr>
      </w:pPr>
      <w:r>
        <w:rPr>
          <w:lang w:eastAsia="ja-JP"/>
        </w:rPr>
        <w:t>0</w:t>
      </w:r>
      <w:r>
        <w:rPr>
          <w:lang w:eastAsia="ja-JP"/>
        </w:rPr>
        <w:t>．要旨</w:t>
      </w:r>
    </w:p>
    <w:p w14:paraId="4A596EDA" w14:textId="77777777" w:rsidR="00F9583B" w:rsidRDefault="00000000">
      <w:pPr>
        <w:pStyle w:val="21"/>
        <w:spacing w:after="60" w:line="360" w:lineRule="exact"/>
        <w:rPr>
          <w:lang w:eastAsia="ja-JP"/>
        </w:rPr>
      </w:pPr>
      <w:r>
        <w:rPr>
          <w:lang w:eastAsia="ja-JP"/>
        </w:rPr>
        <w:t>0-1</w:t>
      </w:r>
      <w:r>
        <w:rPr>
          <w:lang w:eastAsia="ja-JP"/>
        </w:rPr>
        <w:t>．一行要旨</w:t>
      </w:r>
    </w:p>
    <w:p w14:paraId="63FE8E37" w14:textId="77777777" w:rsidR="00F9583B" w:rsidRDefault="00000000">
      <w:pPr>
        <w:spacing w:after="60" w:line="360" w:lineRule="exact"/>
        <w:rPr>
          <w:lang w:eastAsia="ja-JP"/>
        </w:rPr>
      </w:pPr>
      <w:r>
        <w:rPr>
          <w:lang w:eastAsia="ja-JP"/>
        </w:rPr>
        <w:t>本構想は、適正な支援パーソナライズを支援目的に限定して活用し、発達障害、グレーゾーン及び社会的弱者支援を早期化・適正化することにより、就労継続、重症化予防及び制度持続性向上を図ろうとする構想である。</w:t>
      </w:r>
    </w:p>
    <w:p w14:paraId="37A2B8D6" w14:textId="77777777" w:rsidR="00F9583B" w:rsidRDefault="00000000">
      <w:pPr>
        <w:pStyle w:val="21"/>
        <w:spacing w:after="60" w:line="360" w:lineRule="exact"/>
        <w:rPr>
          <w:lang w:eastAsia="ja-JP"/>
        </w:rPr>
      </w:pPr>
      <w:r>
        <w:rPr>
          <w:lang w:eastAsia="ja-JP"/>
        </w:rPr>
        <w:t>0-2</w:t>
      </w:r>
      <w:r>
        <w:rPr>
          <w:lang w:eastAsia="ja-JP"/>
        </w:rPr>
        <w:t>．要点</w:t>
      </w:r>
    </w:p>
    <w:p w14:paraId="7899AFF2" w14:textId="77777777" w:rsidR="00F9583B" w:rsidRDefault="00000000">
      <w:pPr>
        <w:spacing w:after="60" w:line="360" w:lineRule="exact"/>
        <w:ind w:left="340" w:hanging="170"/>
        <w:rPr>
          <w:lang w:eastAsia="ja-JP"/>
        </w:rPr>
      </w:pPr>
      <w:r>
        <w:rPr>
          <w:lang w:eastAsia="ja-JP"/>
        </w:rPr>
        <w:t>① 基本認識</w:t>
      </w:r>
      <w:r>
        <w:rPr>
          <w:lang w:eastAsia="ja-JP"/>
        </w:rPr>
        <w:br/>
        <w:t>本構想は、発達障害、グレーゾーン、社会的孤立その他の支援需要の増大に対応しつつ、医療、福祉、就労及び地域支援の分断を是正し、支援の適正化及び社会保障制度の持続可能性向上を図ろうとするものである。</w:t>
      </w:r>
    </w:p>
    <w:p w14:paraId="3AFFDEAF" w14:textId="77777777" w:rsidR="00F9583B" w:rsidRDefault="00000000">
      <w:pPr>
        <w:spacing w:after="60" w:line="360" w:lineRule="exact"/>
        <w:ind w:left="340" w:hanging="170"/>
        <w:rPr>
          <w:lang w:eastAsia="ja-JP"/>
        </w:rPr>
      </w:pPr>
      <w:r>
        <w:rPr>
          <w:lang w:eastAsia="ja-JP"/>
        </w:rPr>
        <w:t>② 支援原則</w:t>
      </w:r>
      <w:r>
        <w:rPr>
          <w:lang w:eastAsia="ja-JP"/>
        </w:rPr>
        <w:br/>
        <w:t>AI及び計算基盤の利用は支援目的に限定した適正利用にとどめ、誘導・依存設計及び人間主体性を侵食する利用は対象外として整理する。</w:t>
      </w:r>
    </w:p>
    <w:p w14:paraId="050EBE83" w14:textId="77777777" w:rsidR="00F9583B" w:rsidRDefault="00000000">
      <w:pPr>
        <w:spacing w:after="60" w:line="360" w:lineRule="exact"/>
        <w:ind w:left="340" w:hanging="170"/>
        <w:rPr>
          <w:lang w:eastAsia="ja-JP"/>
        </w:rPr>
      </w:pPr>
      <w:r>
        <w:rPr>
          <w:lang w:eastAsia="ja-JP"/>
        </w:rPr>
        <w:t>③ 政策的意義</w:t>
      </w:r>
      <w:r>
        <w:rPr>
          <w:lang w:eastAsia="ja-JP"/>
        </w:rPr>
        <w:br/>
        <w:t>支援の早期化、就労継続、重症化予防及び支援効率化を通じて、社会保障負担の伸び抑制及び制度持続性向上に寄与する可能性を有する。</w:t>
      </w:r>
    </w:p>
    <w:p w14:paraId="21AF6063" w14:textId="77777777" w:rsidR="00F9583B" w:rsidRDefault="00000000">
      <w:pPr>
        <w:pStyle w:val="1"/>
        <w:spacing w:after="60" w:line="360" w:lineRule="exact"/>
        <w:rPr>
          <w:lang w:eastAsia="ja-JP"/>
        </w:rPr>
      </w:pPr>
      <w:r>
        <w:rPr>
          <w:lang w:eastAsia="ja-JP"/>
        </w:rPr>
        <w:lastRenderedPageBreak/>
        <w:t>1</w:t>
      </w:r>
      <w:r>
        <w:rPr>
          <w:lang w:eastAsia="ja-JP"/>
        </w:rPr>
        <w:t>．本構想の基本認識</w:t>
      </w:r>
    </w:p>
    <w:p w14:paraId="601183AA" w14:textId="77777777" w:rsidR="00F9583B" w:rsidRDefault="00000000">
      <w:pPr>
        <w:spacing w:after="60" w:line="360" w:lineRule="exact"/>
        <w:rPr>
          <w:lang w:eastAsia="ja-JP"/>
        </w:rPr>
      </w:pPr>
      <w:r>
        <w:rPr>
          <w:lang w:eastAsia="ja-JP"/>
        </w:rPr>
        <w:t>本構想は、発達障害、グレーゾーン、社会的孤立その他の支援需要の増大に対応しつつ、医療、福祉、就労及び地域支援の分断を是正し、支援の適正化及び社会保障制度の持続可能性向上を図ろうとするものである。その性格は、単純な福祉拡大策ではなく、必要な支援を早期かつ適切に届けることにより、重症化、離職、孤立及び制度負荷の増大を抑制しようとする点にある。</w:t>
      </w:r>
    </w:p>
    <w:p w14:paraId="1AF4F876" w14:textId="77777777" w:rsidR="00F9583B" w:rsidRDefault="00000000">
      <w:pPr>
        <w:pStyle w:val="1"/>
        <w:spacing w:after="60" w:line="360" w:lineRule="exact"/>
        <w:rPr>
          <w:lang w:eastAsia="ja-JP"/>
        </w:rPr>
      </w:pPr>
      <w:r>
        <w:rPr>
          <w:lang w:eastAsia="ja-JP"/>
        </w:rPr>
        <w:t>2</w:t>
      </w:r>
      <w:r>
        <w:rPr>
          <w:lang w:eastAsia="ja-JP"/>
        </w:rPr>
        <w:t>．適正支援パーソナライズの原則</w:t>
      </w:r>
    </w:p>
    <w:p w14:paraId="42EC8954" w14:textId="77777777" w:rsidR="00F9583B" w:rsidRDefault="00000000">
      <w:pPr>
        <w:spacing w:after="60" w:line="360" w:lineRule="exact"/>
        <w:rPr>
          <w:lang w:eastAsia="ja-JP"/>
        </w:rPr>
      </w:pPr>
      <w:r>
        <w:rPr>
          <w:lang w:eastAsia="ja-JP"/>
        </w:rPr>
        <w:t>本構想の基本原則は、AI及び計算基盤を無限定に導入することではなく、支援目的に限定した適正な利用を認める一方、誘導・依存設計及び人間主体性を侵食する利用を排除する点にある。すなわち、判断の肩代わりを前提とするのではなく、本人、家族、支援者及び現場の判断を支える補助的基盤として活用することを想定する。この意味において、本構想における支援パーソナライズは、福祉、医療及び就労支援における適正利用に限定されるものである。</w:t>
      </w:r>
    </w:p>
    <w:p w14:paraId="075D39C7" w14:textId="77777777" w:rsidR="00F9583B" w:rsidRDefault="00000000">
      <w:pPr>
        <w:pStyle w:val="1"/>
        <w:spacing w:after="60" w:line="360" w:lineRule="exact"/>
        <w:rPr>
          <w:lang w:eastAsia="ja-JP"/>
        </w:rPr>
      </w:pPr>
      <w:r>
        <w:rPr>
          <w:lang w:eastAsia="ja-JP"/>
        </w:rPr>
        <w:t>3</w:t>
      </w:r>
      <w:r>
        <w:rPr>
          <w:lang w:eastAsia="ja-JP"/>
        </w:rPr>
        <w:t>．発達障害・障害福祉・対人支援との接続</w:t>
      </w:r>
    </w:p>
    <w:p w14:paraId="1E7E4E1A" w14:textId="77777777" w:rsidR="00F9583B" w:rsidRDefault="00000000">
      <w:pPr>
        <w:spacing w:after="60" w:line="360" w:lineRule="exact"/>
        <w:rPr>
          <w:lang w:eastAsia="ja-JP"/>
        </w:rPr>
      </w:pPr>
      <w:r>
        <w:rPr>
          <w:lang w:eastAsia="ja-JP"/>
        </w:rPr>
        <w:t>本構想は、ASD、グレーゾーン及び社会的弱者支援との接続を重視する。発達障害者支援、障害福祉、相談支援、地域生活支援及び対人支援の各領域において、必要な支援に限って適正な支援パーソナライズを導入することにより、現場の負担軽減並びに支援の継続性及び個別性の向上を図ることが可能となる。ここで重要なのは、利用対象を民生目的に限定し、本人の主体性及び支援現場の専門性を損なわない制度設計を行うことである。</w:t>
      </w:r>
    </w:p>
    <w:p w14:paraId="6E8707DF" w14:textId="77777777" w:rsidR="00F9583B" w:rsidRDefault="00000000">
      <w:pPr>
        <w:pStyle w:val="1"/>
        <w:spacing w:after="60" w:line="360" w:lineRule="exact"/>
        <w:rPr>
          <w:lang w:eastAsia="ja-JP"/>
        </w:rPr>
      </w:pPr>
      <w:r>
        <w:rPr>
          <w:lang w:eastAsia="ja-JP"/>
        </w:rPr>
        <w:t>4</w:t>
      </w:r>
      <w:r>
        <w:rPr>
          <w:lang w:eastAsia="ja-JP"/>
        </w:rPr>
        <w:t>．医療・介護・福祉データ連携との接続</w:t>
      </w:r>
    </w:p>
    <w:p w14:paraId="4D45DA57" w14:textId="77777777" w:rsidR="00F9583B" w:rsidRDefault="00000000">
      <w:pPr>
        <w:spacing w:after="60" w:line="360" w:lineRule="exact"/>
        <w:rPr>
          <w:lang w:eastAsia="ja-JP"/>
        </w:rPr>
      </w:pPr>
      <w:r>
        <w:rPr>
          <w:lang w:eastAsia="ja-JP"/>
        </w:rPr>
        <w:t>本構想は、医療、介護及び福祉分野のデータ連携との接続を想定している。支援の継続性を高め、重複支援、情報分断及び制度運営負荷を軽減するためには、行政横断データ基盤及び各種支援制度との適正な接続が重要となる。この場合においても、単なるデータ集積ではなく、支援継続性、制度運営効率化及び災害時の継続利用を視野に入れた設計が必要である。</w:t>
      </w:r>
    </w:p>
    <w:p w14:paraId="0BD61DD7" w14:textId="77777777" w:rsidR="00F9583B" w:rsidRDefault="00000000">
      <w:pPr>
        <w:pStyle w:val="1"/>
        <w:spacing w:after="60" w:line="360" w:lineRule="exact"/>
        <w:rPr>
          <w:lang w:eastAsia="ja-JP"/>
        </w:rPr>
      </w:pPr>
      <w:r>
        <w:rPr>
          <w:lang w:eastAsia="ja-JP"/>
        </w:rPr>
        <w:t>5</w:t>
      </w:r>
      <w:r>
        <w:rPr>
          <w:lang w:eastAsia="ja-JP"/>
        </w:rPr>
        <w:t>．就労継続・重症化予防・制度持続性</w:t>
      </w:r>
    </w:p>
    <w:p w14:paraId="3043799A" w14:textId="77777777" w:rsidR="00F9583B" w:rsidRDefault="00000000">
      <w:pPr>
        <w:spacing w:after="60" w:line="360" w:lineRule="exact"/>
        <w:rPr>
          <w:lang w:eastAsia="ja-JP"/>
        </w:rPr>
      </w:pPr>
      <w:r>
        <w:rPr>
          <w:lang w:eastAsia="ja-JP"/>
        </w:rPr>
        <w:t>本構想は、支援政策を就労継続、重症化予防及び社会参加支援と接続している。必要な支援が早期に届くことにより、離職、孤立及び支援の長期固定化を防ぎ、本人の社会参加及び就労継続を支えることができる。このことは、福祉的価値にとどまらず、社会保障制度における給付及び保険負担の伸び抑制にも資する可能性を有する。</w:t>
      </w:r>
    </w:p>
    <w:p w14:paraId="279CE123" w14:textId="77777777" w:rsidR="00F9583B" w:rsidRDefault="00000000">
      <w:pPr>
        <w:spacing w:after="60" w:line="360" w:lineRule="exact"/>
        <w:rPr>
          <w:lang w:eastAsia="ja-JP"/>
        </w:rPr>
      </w:pPr>
      <w:r>
        <w:rPr>
          <w:lang w:eastAsia="ja-JP"/>
        </w:rPr>
        <w:t>また、本構想は社会保障制度の持続可能性とも関係する。すなわち、支援の早期化、重症化予防、就労継続及び支援効率化を通じて、制度負荷の過度な増大を抑制し、社会保障負担の伸びを緩和</w:t>
      </w:r>
      <w:r>
        <w:rPr>
          <w:lang w:eastAsia="ja-JP"/>
        </w:rPr>
        <w:lastRenderedPageBreak/>
        <w:t>する方向で整理することができる。ただし、ここで重視すべきは給付削減そのものではなく、適切な支援を適切な時点で届けることによる制度持続性の向上である。</w:t>
      </w:r>
    </w:p>
    <w:p w14:paraId="4875CD89" w14:textId="77777777" w:rsidR="00F9583B" w:rsidRDefault="00000000">
      <w:pPr>
        <w:pStyle w:val="1"/>
        <w:spacing w:after="60" w:line="360" w:lineRule="exact"/>
        <w:rPr>
          <w:lang w:eastAsia="ja-JP"/>
        </w:rPr>
      </w:pPr>
      <w:r>
        <w:rPr>
          <w:lang w:eastAsia="ja-JP"/>
        </w:rPr>
        <w:t>6</w:t>
      </w:r>
      <w:r>
        <w:rPr>
          <w:lang w:eastAsia="ja-JP"/>
        </w:rPr>
        <w:t>．分散型計算基盤との接続</w:t>
      </w:r>
    </w:p>
    <w:p w14:paraId="6A5AE818" w14:textId="77777777" w:rsidR="00F9583B" w:rsidRDefault="00000000">
      <w:pPr>
        <w:spacing w:after="60" w:line="360" w:lineRule="exact"/>
        <w:rPr>
          <w:lang w:eastAsia="ja-JP"/>
        </w:rPr>
      </w:pPr>
      <w:r>
        <w:rPr>
          <w:lang w:eastAsia="ja-JP"/>
        </w:rPr>
        <w:t>本構想における支援基盤は、分散型計算基盤と接続している。支援AI、相談支援補助、行政継続及びデータ連携を安定的に支えるためには、地方分散型の計算基盤及びデータ基盤が必要である。災害時又は広域障害時においても支援を継続し得る基盤を整えることは、福祉、医療及び行政の継続性の観点からも重要である。</w:t>
      </w:r>
    </w:p>
    <w:p w14:paraId="3C86CD11" w14:textId="77777777" w:rsidR="00F9583B" w:rsidRDefault="00000000">
      <w:pPr>
        <w:pStyle w:val="1"/>
        <w:spacing w:after="60" w:line="360" w:lineRule="exact"/>
        <w:rPr>
          <w:lang w:eastAsia="ja-JP"/>
        </w:rPr>
      </w:pPr>
      <w:r>
        <w:rPr>
          <w:lang w:eastAsia="ja-JP"/>
        </w:rPr>
        <w:t>7</w:t>
      </w:r>
      <w:r>
        <w:rPr>
          <w:lang w:eastAsia="ja-JP"/>
        </w:rPr>
        <w:t>．結論</w:t>
      </w:r>
    </w:p>
    <w:p w14:paraId="1A75D1AE" w14:textId="77777777" w:rsidR="00F9583B" w:rsidRDefault="00000000">
      <w:pPr>
        <w:spacing w:after="60" w:line="360" w:lineRule="exact"/>
        <w:rPr>
          <w:lang w:eastAsia="ja-JP"/>
        </w:rPr>
      </w:pPr>
      <w:r>
        <w:rPr>
          <w:lang w:eastAsia="ja-JP"/>
        </w:rPr>
        <w:t>以上のとおり、本構想は、単なる技術導入又は福祉拡大を主目的とするものではなく、適正な支援パーソナライズ、就労継続、重症化予防、支援効率化及び制度持続性向上を接続しようとするものである。厚生労働省向け説明においては、支援目的に限定した適正利用の原則、発達障害・障害福祉・対人支援との接続、医療・介護・福祉データ連携との整合、就労継続及び社会参加支援、並びに社会保障負担の伸び抑制を含む制度持続性への寄与を中心に整理することが適当である。</w:t>
      </w:r>
    </w:p>
    <w:p w14:paraId="34F9C525" w14:textId="77777777" w:rsidR="00F9583B" w:rsidRDefault="00000000">
      <w:pPr>
        <w:spacing w:before="120" w:line="240" w:lineRule="exact"/>
        <w:rPr>
          <w:lang w:eastAsia="ja-JP"/>
        </w:rPr>
      </w:pPr>
      <w:r>
        <w:rPr>
          <w:sz w:val="17"/>
          <w:lang w:eastAsia="ja-JP"/>
        </w:rPr>
        <w:t>注）本資料は説明用整理案であり、記載内容については、今後、障害福祉、医療・介護・福祉データ連携、制度設計及び既存施策との整合性を踏まえてさらに精査する前提である。</w:t>
      </w:r>
    </w:p>
    <w:sectPr w:rsidR="00F9583B" w:rsidSect="00034616">
      <w:pgSz w:w="12240" w:h="15840"/>
      <w:pgMar w:top="1417" w:right="1531" w:bottom="1417"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2086610218">
    <w:abstractNumId w:val="8"/>
  </w:num>
  <w:num w:numId="2" w16cid:durableId="1224682558">
    <w:abstractNumId w:val="6"/>
  </w:num>
  <w:num w:numId="3" w16cid:durableId="481312589">
    <w:abstractNumId w:val="5"/>
  </w:num>
  <w:num w:numId="4" w16cid:durableId="828865201">
    <w:abstractNumId w:val="4"/>
  </w:num>
  <w:num w:numId="5" w16cid:durableId="2016955971">
    <w:abstractNumId w:val="7"/>
  </w:num>
  <w:num w:numId="6" w16cid:durableId="697199292">
    <w:abstractNumId w:val="3"/>
  </w:num>
  <w:num w:numId="7" w16cid:durableId="1894267377">
    <w:abstractNumId w:val="2"/>
  </w:num>
  <w:num w:numId="8" w16cid:durableId="283003751">
    <w:abstractNumId w:val="1"/>
  </w:num>
  <w:num w:numId="9" w16cid:durableId="1544756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E4275"/>
    <w:rsid w:val="00AA1D8D"/>
    <w:rsid w:val="00B47730"/>
    <w:rsid w:val="00CB0664"/>
    <w:rsid w:val="00F9583B"/>
    <w:rsid w:val="00FC693F"/>
    <w:rsid w:val="00FE0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2DE5961B"/>
  <w14:defaultImageDpi w14:val="300"/>
  <w15:docId w15:val="{ED130181-9240-4B54-9413-1B6D0957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游明朝" w:eastAsia="游明朝" w:hAnsi="游明朝"/>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3"/>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b/>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Header">
    <w:name w:val="SmallHeader"/>
    <w:basedOn w:val="a1"/>
    <w:rsid w:val="003E4275"/>
    <w:pPr>
      <w:spacing w:after="160" w:line="288" w:lineRule="auto"/>
      <w:jc w:val="right"/>
    </w:pPr>
    <w:rPr>
      <w:rFonts w:ascii="ＭＳ 明朝" w:eastAsia="ＭＳ 明朝" w:hAnsi="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葬祭 天龍</cp:lastModifiedBy>
  <cp:revision>2</cp:revision>
  <dcterms:created xsi:type="dcterms:W3CDTF">2013-12-23T23:15:00Z</dcterms:created>
  <dcterms:modified xsi:type="dcterms:W3CDTF">2026-04-13T10:55:00Z</dcterms:modified>
  <cp:category/>
</cp:coreProperties>
</file>