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E96A0" w14:textId="77777777" w:rsidR="00C6082E" w:rsidRDefault="00C6082E" w:rsidP="00C6082E">
      <w:pPr>
        <w:pStyle w:val="SmallHeader"/>
        <w:jc w:val="center"/>
        <w:rPr>
          <w:lang w:eastAsia="ja-JP"/>
        </w:rPr>
      </w:pPr>
    </w:p>
    <w:p w14:paraId="389539C3" w14:textId="77777777" w:rsidR="00C6082E" w:rsidRDefault="00C6082E" w:rsidP="00C6082E">
      <w:pPr>
        <w:pStyle w:val="SmallHeader"/>
        <w:rPr>
          <w:lang w:eastAsia="ja-JP"/>
        </w:rPr>
      </w:pPr>
    </w:p>
    <w:p w14:paraId="4FD5CC2D" w14:textId="77777777" w:rsidR="00C6082E" w:rsidRDefault="00C6082E" w:rsidP="00C6082E">
      <w:pPr>
        <w:pStyle w:val="SmallHeader"/>
        <w:rPr>
          <w:lang w:eastAsia="ja-JP"/>
        </w:rPr>
      </w:pPr>
    </w:p>
    <w:p w14:paraId="5806A81F" w14:textId="77777777" w:rsidR="00C6082E" w:rsidRDefault="00C6082E" w:rsidP="00C6082E">
      <w:pPr>
        <w:pStyle w:val="SmallHeader"/>
        <w:rPr>
          <w:lang w:eastAsia="ja-JP"/>
        </w:rPr>
      </w:pPr>
    </w:p>
    <w:p w14:paraId="7D370BA5" w14:textId="77777777" w:rsidR="00C6082E" w:rsidRPr="00C6082E" w:rsidRDefault="00C6082E" w:rsidP="00C6082E">
      <w:pPr>
        <w:pStyle w:val="SmallHeader"/>
        <w:jc w:val="center"/>
        <w:rPr>
          <w:sz w:val="36"/>
          <w:szCs w:val="48"/>
          <w:lang w:eastAsia="ja-JP"/>
        </w:rPr>
      </w:pPr>
      <w:r w:rsidRPr="00C6082E">
        <w:rPr>
          <w:rFonts w:hint="eastAsia"/>
          <w:sz w:val="36"/>
          <w:szCs w:val="48"/>
          <w:lang w:eastAsia="ja-JP"/>
        </w:rPr>
        <w:t>北日本戦略再設計構想</w:t>
      </w:r>
    </w:p>
    <w:p w14:paraId="43C6AC68" w14:textId="77777777" w:rsidR="00C6082E" w:rsidRPr="00C6082E" w:rsidRDefault="00C6082E" w:rsidP="00C6082E">
      <w:pPr>
        <w:pStyle w:val="SmallHeader"/>
        <w:jc w:val="center"/>
        <w:rPr>
          <w:sz w:val="36"/>
          <w:szCs w:val="48"/>
          <w:lang w:eastAsia="ja-JP"/>
        </w:rPr>
      </w:pPr>
      <w:r w:rsidRPr="00C6082E">
        <w:rPr>
          <w:rFonts w:hint="eastAsia"/>
          <w:sz w:val="36"/>
          <w:szCs w:val="48"/>
          <w:lang w:eastAsia="ja-JP"/>
        </w:rPr>
        <w:t>【農林水産省向け説明資料】</w:t>
      </w:r>
    </w:p>
    <w:p w14:paraId="7BA5CFE4" w14:textId="37D0E82D" w:rsidR="00C6082E" w:rsidRPr="007C7587" w:rsidRDefault="00C6082E" w:rsidP="00C6082E">
      <w:pPr>
        <w:pStyle w:val="SmallHeader"/>
        <w:jc w:val="center"/>
        <w:rPr>
          <w:sz w:val="36"/>
          <w:szCs w:val="48"/>
          <w:lang w:eastAsia="ja-JP"/>
        </w:rPr>
      </w:pPr>
      <w:r w:rsidRPr="00C6082E">
        <w:rPr>
          <w:rFonts w:hint="eastAsia"/>
          <w:sz w:val="36"/>
          <w:szCs w:val="48"/>
          <w:lang w:eastAsia="ja-JP"/>
        </w:rPr>
        <w:t>漁業権・水産業・地域合意形成に関する説明資料</w:t>
      </w:r>
    </w:p>
    <w:p w14:paraId="2325478E" w14:textId="77777777" w:rsidR="00C6082E" w:rsidRDefault="00C6082E" w:rsidP="00C6082E">
      <w:pPr>
        <w:pStyle w:val="SmallHeader"/>
        <w:jc w:val="center"/>
        <w:rPr>
          <w:lang w:eastAsia="ja-JP"/>
        </w:rPr>
      </w:pPr>
    </w:p>
    <w:p w14:paraId="6836D173" w14:textId="77777777" w:rsidR="00C6082E" w:rsidRDefault="00C6082E" w:rsidP="00C6082E">
      <w:pPr>
        <w:pStyle w:val="SmallHeader"/>
        <w:jc w:val="center"/>
        <w:rPr>
          <w:lang w:eastAsia="ja-JP"/>
        </w:rPr>
      </w:pPr>
    </w:p>
    <w:p w14:paraId="1A0E11D4" w14:textId="77777777" w:rsidR="00C6082E" w:rsidRDefault="00C6082E" w:rsidP="00C6082E">
      <w:pPr>
        <w:pStyle w:val="SmallHeader"/>
        <w:jc w:val="center"/>
        <w:rPr>
          <w:lang w:eastAsia="ja-JP"/>
        </w:rPr>
      </w:pPr>
    </w:p>
    <w:p w14:paraId="28CEBED2" w14:textId="77777777" w:rsidR="00C6082E" w:rsidRDefault="00C6082E" w:rsidP="00C6082E">
      <w:pPr>
        <w:pStyle w:val="SmallHeader"/>
        <w:jc w:val="center"/>
        <w:rPr>
          <w:rFonts w:hint="eastAsia"/>
          <w:lang w:eastAsia="ja-JP"/>
        </w:rPr>
      </w:pPr>
    </w:p>
    <w:p w14:paraId="1E7B38BC" w14:textId="77777777" w:rsidR="00C6082E" w:rsidRPr="007C7587" w:rsidRDefault="00C6082E" w:rsidP="00C6082E">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783C51D8" w14:textId="77777777" w:rsidR="00C6082E" w:rsidRPr="007C7587" w:rsidRDefault="00C6082E" w:rsidP="00C6082E">
      <w:pPr>
        <w:pStyle w:val="SmallHeader"/>
        <w:jc w:val="center"/>
        <w:rPr>
          <w:sz w:val="22"/>
          <w:szCs w:val="32"/>
          <w:lang w:eastAsia="ja-JP"/>
        </w:rPr>
      </w:pPr>
      <w:r w:rsidRPr="007C7587">
        <w:rPr>
          <w:rFonts w:hint="eastAsia"/>
          <w:sz w:val="22"/>
          <w:szCs w:val="32"/>
          <w:lang w:eastAsia="ja-JP"/>
        </w:rPr>
        <w:t>提出日：令和○年○月○日</w:t>
      </w:r>
    </w:p>
    <w:p w14:paraId="44999CAF" w14:textId="77777777" w:rsidR="00C6082E" w:rsidRPr="00C6082E" w:rsidRDefault="00C6082E">
      <w:pPr>
        <w:spacing w:after="60" w:line="360" w:lineRule="exact"/>
        <w:jc w:val="right"/>
        <w:rPr>
          <w:sz w:val="18"/>
          <w:lang w:eastAsia="ja-JP"/>
        </w:rPr>
      </w:pPr>
    </w:p>
    <w:p w14:paraId="6F4F6703" w14:textId="77777777" w:rsidR="00C6082E" w:rsidRDefault="00C6082E">
      <w:pPr>
        <w:spacing w:after="60" w:line="360" w:lineRule="exact"/>
        <w:jc w:val="right"/>
        <w:rPr>
          <w:sz w:val="18"/>
          <w:lang w:eastAsia="ja-JP"/>
        </w:rPr>
      </w:pPr>
    </w:p>
    <w:p w14:paraId="7CCBE8BD" w14:textId="77777777" w:rsidR="00C6082E" w:rsidRDefault="00C6082E">
      <w:pPr>
        <w:spacing w:after="60" w:line="360" w:lineRule="exact"/>
        <w:jc w:val="right"/>
        <w:rPr>
          <w:sz w:val="18"/>
          <w:lang w:eastAsia="ja-JP"/>
        </w:rPr>
      </w:pPr>
    </w:p>
    <w:p w14:paraId="3B2AF1AF" w14:textId="77777777" w:rsidR="00C6082E" w:rsidRDefault="00C6082E">
      <w:pPr>
        <w:spacing w:after="60" w:line="360" w:lineRule="exact"/>
        <w:jc w:val="right"/>
        <w:rPr>
          <w:sz w:val="18"/>
          <w:lang w:eastAsia="ja-JP"/>
        </w:rPr>
      </w:pPr>
    </w:p>
    <w:p w14:paraId="3B188773" w14:textId="77777777" w:rsidR="00C6082E" w:rsidRDefault="00C6082E">
      <w:pPr>
        <w:spacing w:after="60" w:line="360" w:lineRule="exact"/>
        <w:jc w:val="right"/>
        <w:rPr>
          <w:sz w:val="18"/>
          <w:lang w:eastAsia="ja-JP"/>
        </w:rPr>
      </w:pPr>
    </w:p>
    <w:p w14:paraId="27175F55" w14:textId="77777777" w:rsidR="00C6082E" w:rsidRDefault="00C6082E">
      <w:pPr>
        <w:spacing w:after="60" w:line="360" w:lineRule="exact"/>
        <w:jc w:val="right"/>
        <w:rPr>
          <w:sz w:val="18"/>
          <w:lang w:eastAsia="ja-JP"/>
        </w:rPr>
      </w:pPr>
    </w:p>
    <w:p w14:paraId="0E9FAE49" w14:textId="77777777" w:rsidR="00C6082E" w:rsidRDefault="00C6082E">
      <w:pPr>
        <w:spacing w:after="60" w:line="360" w:lineRule="exact"/>
        <w:jc w:val="right"/>
        <w:rPr>
          <w:sz w:val="18"/>
          <w:lang w:eastAsia="ja-JP"/>
        </w:rPr>
      </w:pPr>
    </w:p>
    <w:p w14:paraId="24C2A978" w14:textId="77777777" w:rsidR="00C6082E" w:rsidRDefault="00C6082E">
      <w:pPr>
        <w:spacing w:after="60" w:line="360" w:lineRule="exact"/>
        <w:jc w:val="right"/>
        <w:rPr>
          <w:sz w:val="18"/>
          <w:lang w:eastAsia="ja-JP"/>
        </w:rPr>
      </w:pPr>
    </w:p>
    <w:p w14:paraId="2E494286" w14:textId="77777777" w:rsidR="00C6082E" w:rsidRDefault="00C6082E">
      <w:pPr>
        <w:spacing w:after="60" w:line="360" w:lineRule="exact"/>
        <w:jc w:val="right"/>
        <w:rPr>
          <w:sz w:val="18"/>
          <w:lang w:eastAsia="ja-JP"/>
        </w:rPr>
      </w:pPr>
    </w:p>
    <w:p w14:paraId="006B78E1" w14:textId="77777777" w:rsidR="00C6082E" w:rsidRDefault="00C6082E">
      <w:pPr>
        <w:spacing w:after="60" w:line="360" w:lineRule="exact"/>
        <w:jc w:val="right"/>
        <w:rPr>
          <w:sz w:val="18"/>
          <w:lang w:eastAsia="ja-JP"/>
        </w:rPr>
      </w:pPr>
    </w:p>
    <w:p w14:paraId="1077418E" w14:textId="77777777" w:rsidR="00C6082E" w:rsidRDefault="00C6082E">
      <w:pPr>
        <w:spacing w:after="60" w:line="360" w:lineRule="exact"/>
        <w:jc w:val="right"/>
        <w:rPr>
          <w:sz w:val="18"/>
          <w:lang w:eastAsia="ja-JP"/>
        </w:rPr>
      </w:pPr>
    </w:p>
    <w:p w14:paraId="7CE8E5B5" w14:textId="77777777" w:rsidR="00C6082E" w:rsidRDefault="00C6082E">
      <w:pPr>
        <w:spacing w:after="60" w:line="360" w:lineRule="exact"/>
        <w:jc w:val="right"/>
        <w:rPr>
          <w:rFonts w:hint="eastAsia"/>
          <w:sz w:val="18"/>
          <w:lang w:eastAsia="ja-JP"/>
        </w:rPr>
      </w:pPr>
    </w:p>
    <w:p w14:paraId="48E8F22A" w14:textId="77777777" w:rsidR="00C6082E" w:rsidRDefault="00C6082E">
      <w:pPr>
        <w:spacing w:after="60" w:line="360" w:lineRule="exact"/>
        <w:jc w:val="right"/>
        <w:rPr>
          <w:sz w:val="18"/>
          <w:lang w:eastAsia="ja-JP"/>
        </w:rPr>
      </w:pPr>
    </w:p>
    <w:p w14:paraId="1312813A" w14:textId="77777777" w:rsidR="00C6082E" w:rsidRDefault="00C6082E">
      <w:pPr>
        <w:spacing w:after="60" w:line="360" w:lineRule="exact"/>
        <w:jc w:val="right"/>
        <w:rPr>
          <w:sz w:val="18"/>
          <w:lang w:eastAsia="ja-JP"/>
        </w:rPr>
      </w:pPr>
    </w:p>
    <w:p w14:paraId="0246B53B" w14:textId="77777777" w:rsidR="00C6082E" w:rsidRDefault="00C6082E">
      <w:pPr>
        <w:spacing w:after="60" w:line="360" w:lineRule="exact"/>
        <w:jc w:val="right"/>
        <w:rPr>
          <w:sz w:val="18"/>
          <w:lang w:eastAsia="ja-JP"/>
        </w:rPr>
      </w:pPr>
    </w:p>
    <w:p w14:paraId="6AE585A8" w14:textId="47F44D4F" w:rsidR="008960FB" w:rsidRDefault="00000000">
      <w:pPr>
        <w:spacing w:after="60" w:line="360" w:lineRule="exact"/>
        <w:jc w:val="right"/>
        <w:rPr>
          <w:lang w:eastAsia="ja-JP"/>
        </w:rPr>
      </w:pPr>
      <w:r>
        <w:rPr>
          <w:sz w:val="18"/>
          <w:lang w:eastAsia="ja-JP"/>
        </w:rPr>
        <w:lastRenderedPageBreak/>
        <w:t>農林水産省向け／説明資料（案）</w:t>
      </w:r>
    </w:p>
    <w:p w14:paraId="024580EF" w14:textId="77777777" w:rsidR="008960FB" w:rsidRDefault="00000000">
      <w:pPr>
        <w:pStyle w:val="aa"/>
        <w:spacing w:after="120" w:line="360" w:lineRule="exact"/>
        <w:jc w:val="center"/>
        <w:rPr>
          <w:lang w:eastAsia="ja-JP"/>
        </w:rPr>
      </w:pPr>
      <w:r>
        <w:rPr>
          <w:lang w:eastAsia="ja-JP"/>
        </w:rPr>
        <w:t>北日本戦略再設計構想</w:t>
      </w:r>
    </w:p>
    <w:p w14:paraId="3F7010E3" w14:textId="77777777" w:rsidR="008960FB" w:rsidRDefault="00000000">
      <w:pPr>
        <w:pStyle w:val="ac"/>
        <w:spacing w:after="60" w:line="360" w:lineRule="exact"/>
        <w:jc w:val="center"/>
        <w:rPr>
          <w:lang w:eastAsia="ja-JP"/>
        </w:rPr>
      </w:pPr>
      <w:r>
        <w:rPr>
          <w:lang w:eastAsia="ja-JP"/>
        </w:rPr>
        <w:t>海域利用・漁業権調整・水産業共存に関する説明資料</w:t>
      </w:r>
    </w:p>
    <w:p w14:paraId="4944B9EB" w14:textId="77777777" w:rsidR="008960FB" w:rsidRDefault="00000000">
      <w:pPr>
        <w:pStyle w:val="ac"/>
        <w:spacing w:after="240" w:line="360" w:lineRule="exact"/>
        <w:jc w:val="center"/>
        <w:rPr>
          <w:lang w:eastAsia="ja-JP"/>
        </w:rPr>
      </w:pPr>
      <w:r>
        <w:rPr>
          <w:lang w:eastAsia="ja-JP"/>
        </w:rPr>
        <w:t>（農林水産省向け）</w:t>
      </w:r>
    </w:p>
    <w:p w14:paraId="6C9D5AF6" w14:textId="77777777" w:rsidR="008960FB" w:rsidRDefault="00000000">
      <w:pPr>
        <w:pStyle w:val="21"/>
        <w:spacing w:after="60" w:line="360" w:lineRule="exact"/>
        <w:rPr>
          <w:lang w:eastAsia="ja-JP"/>
        </w:rPr>
      </w:pPr>
      <w:r>
        <w:rPr>
          <w:lang w:eastAsia="ja-JP"/>
        </w:rPr>
        <w:t>作成目的</w:t>
      </w:r>
    </w:p>
    <w:p w14:paraId="6BB79377" w14:textId="77777777" w:rsidR="008960FB" w:rsidRDefault="00000000">
      <w:pPr>
        <w:spacing w:after="60" w:line="360" w:lineRule="exact"/>
        <w:rPr>
          <w:lang w:eastAsia="ja-JP"/>
        </w:rPr>
      </w:pPr>
      <w:r>
        <w:rPr>
          <w:lang w:eastAsia="ja-JP"/>
        </w:rPr>
        <w:t>本資料は、北日本戦略再設計構想について、海域利用調整、漁業権調整、漁場との共存設計及び水産業との両立の観点から整理し、農林水産省向け説明用資料として取りまとめるものである。</w:t>
      </w:r>
    </w:p>
    <w:p w14:paraId="7CA11F0F" w14:textId="77777777" w:rsidR="008960FB" w:rsidRDefault="00000000">
      <w:pPr>
        <w:pStyle w:val="21"/>
        <w:spacing w:after="60" w:line="360" w:lineRule="exact"/>
        <w:rPr>
          <w:lang w:eastAsia="ja-JP"/>
        </w:rPr>
      </w:pPr>
      <w:r>
        <w:rPr>
          <w:lang w:eastAsia="ja-JP"/>
        </w:rPr>
        <w:t>位置づけ</w:t>
      </w:r>
    </w:p>
    <w:p w14:paraId="4C3172C4" w14:textId="77777777" w:rsidR="008960FB" w:rsidRDefault="00000000">
      <w:pPr>
        <w:spacing w:after="60" w:line="360" w:lineRule="exact"/>
        <w:rPr>
          <w:lang w:eastAsia="ja-JP"/>
        </w:rPr>
      </w:pPr>
      <w:r>
        <w:rPr>
          <w:lang w:eastAsia="ja-JP"/>
        </w:rPr>
        <w:t>本資料は総合版から農林水産省向け論点を抽出した説明資料であり、記載内容については、今後、漁業権、海域利用、地域合意形成及び既存制度との整合性を踏まえてさらに精査する前提で整理したものである。</w:t>
      </w:r>
    </w:p>
    <w:p w14:paraId="200CADD6" w14:textId="77777777" w:rsidR="008960FB" w:rsidRDefault="00000000">
      <w:pPr>
        <w:pStyle w:val="1"/>
        <w:spacing w:after="60" w:line="360" w:lineRule="exact"/>
        <w:rPr>
          <w:lang w:eastAsia="ja-JP"/>
        </w:rPr>
      </w:pPr>
      <w:r>
        <w:rPr>
          <w:lang w:eastAsia="ja-JP"/>
        </w:rPr>
        <w:t>0</w:t>
      </w:r>
      <w:r>
        <w:rPr>
          <w:lang w:eastAsia="ja-JP"/>
        </w:rPr>
        <w:t>．要旨</w:t>
      </w:r>
    </w:p>
    <w:p w14:paraId="21759C0C" w14:textId="77777777" w:rsidR="008960FB" w:rsidRDefault="00000000">
      <w:pPr>
        <w:pStyle w:val="21"/>
        <w:spacing w:after="60" w:line="360" w:lineRule="exact"/>
        <w:rPr>
          <w:lang w:eastAsia="ja-JP"/>
        </w:rPr>
      </w:pPr>
      <w:r>
        <w:rPr>
          <w:lang w:eastAsia="ja-JP"/>
        </w:rPr>
        <w:t>0-1</w:t>
      </w:r>
      <w:r>
        <w:rPr>
          <w:lang w:eastAsia="ja-JP"/>
        </w:rPr>
        <w:t>．一行要旨</w:t>
      </w:r>
    </w:p>
    <w:p w14:paraId="37F03FC4" w14:textId="77777777" w:rsidR="008960FB" w:rsidRDefault="00000000">
      <w:pPr>
        <w:spacing w:after="60" w:line="360" w:lineRule="exact"/>
        <w:rPr>
          <w:lang w:eastAsia="ja-JP"/>
        </w:rPr>
      </w:pPr>
      <w:r>
        <w:rPr>
          <w:lang w:eastAsia="ja-JP"/>
        </w:rPr>
        <w:t>本構想は、陸奥湾におけるメガフロート整備を、海域利用調整、漁業権調整及び水産業との共存を前提とした民生基盤整備として整理しようとする構想である。</w:t>
      </w:r>
    </w:p>
    <w:p w14:paraId="16CB2004" w14:textId="77777777" w:rsidR="008960FB" w:rsidRDefault="00000000">
      <w:pPr>
        <w:pStyle w:val="21"/>
        <w:spacing w:after="60" w:line="360" w:lineRule="exact"/>
        <w:rPr>
          <w:lang w:eastAsia="ja-JP"/>
        </w:rPr>
      </w:pPr>
      <w:r>
        <w:rPr>
          <w:lang w:eastAsia="ja-JP"/>
        </w:rPr>
        <w:t>0-2</w:t>
      </w:r>
      <w:r>
        <w:rPr>
          <w:lang w:eastAsia="ja-JP"/>
        </w:rPr>
        <w:t>．要点</w:t>
      </w:r>
    </w:p>
    <w:p w14:paraId="0997FCD1" w14:textId="77777777" w:rsidR="008960FB" w:rsidRDefault="00000000">
      <w:pPr>
        <w:spacing w:after="60" w:line="360" w:lineRule="exact"/>
        <w:ind w:left="340" w:hanging="170"/>
        <w:rPr>
          <w:lang w:eastAsia="ja-JP"/>
        </w:rPr>
      </w:pPr>
      <w:r>
        <w:rPr>
          <w:lang w:eastAsia="ja-JP"/>
        </w:rPr>
        <w:t>① 基本認識</w:t>
      </w:r>
      <w:r>
        <w:rPr>
          <w:lang w:eastAsia="ja-JP"/>
        </w:rPr>
        <w:br/>
        <w:t>本構想は、陸奥湾を単なる空白海域としてではなく、既存の漁業活動、漁場利用及び沿岸経済が存在する調整対象空間として捉え、海域利用、水産業、港湾物流及び地域経済の両立を前提として整備を進めようとするものである。</w:t>
      </w:r>
    </w:p>
    <w:p w14:paraId="26CA9CB8" w14:textId="77777777" w:rsidR="008960FB" w:rsidRDefault="00000000">
      <w:pPr>
        <w:spacing w:after="60" w:line="360" w:lineRule="exact"/>
        <w:ind w:left="340" w:hanging="170"/>
        <w:rPr>
          <w:lang w:eastAsia="ja-JP"/>
        </w:rPr>
      </w:pPr>
      <w:r>
        <w:rPr>
          <w:lang w:eastAsia="ja-JP"/>
        </w:rPr>
        <w:t>② 調整原則</w:t>
      </w:r>
      <w:r>
        <w:rPr>
          <w:lang w:eastAsia="ja-JP"/>
        </w:rPr>
        <w:br/>
        <w:t>メガフロート整備に当たっては、漁業権との関係、操業への影響、漁場環境への影響及び沿岸利用への影響を個別に把握し、影響最小化を原則として配置、規模及び利用形態を調整する。</w:t>
      </w:r>
    </w:p>
    <w:p w14:paraId="45EAFA90" w14:textId="77777777" w:rsidR="008960FB" w:rsidRDefault="00000000">
      <w:pPr>
        <w:spacing w:after="60" w:line="360" w:lineRule="exact"/>
        <w:ind w:left="340" w:hanging="170"/>
        <w:rPr>
          <w:lang w:eastAsia="ja-JP"/>
        </w:rPr>
      </w:pPr>
      <w:r>
        <w:rPr>
          <w:lang w:eastAsia="ja-JP"/>
        </w:rPr>
        <w:t>③ 政策的意義</w:t>
      </w:r>
      <w:r>
        <w:rPr>
          <w:lang w:eastAsia="ja-JP"/>
        </w:rPr>
        <w:br/>
        <w:t>漁業権及び漁場との共存設計、地域関係者との合意形成、水産業への影響緩和並びに水産物流を含む地域経済との接続可能性を通じて、水産業と両立し得る海域再設計を図る。</w:t>
      </w:r>
    </w:p>
    <w:p w14:paraId="629B373C" w14:textId="77777777" w:rsidR="008960FB" w:rsidRDefault="00000000">
      <w:pPr>
        <w:pStyle w:val="1"/>
        <w:spacing w:after="60" w:line="360" w:lineRule="exact"/>
        <w:rPr>
          <w:lang w:eastAsia="ja-JP"/>
        </w:rPr>
      </w:pPr>
      <w:r>
        <w:rPr>
          <w:lang w:eastAsia="ja-JP"/>
        </w:rPr>
        <w:t>1</w:t>
      </w:r>
      <w:r>
        <w:rPr>
          <w:lang w:eastAsia="ja-JP"/>
        </w:rPr>
        <w:t>．本構想の基本認識</w:t>
      </w:r>
    </w:p>
    <w:p w14:paraId="77A2D93A" w14:textId="77777777" w:rsidR="008960FB" w:rsidRDefault="00000000">
      <w:pPr>
        <w:spacing w:after="60" w:line="360" w:lineRule="exact"/>
        <w:rPr>
          <w:lang w:eastAsia="ja-JP"/>
        </w:rPr>
      </w:pPr>
      <w:r>
        <w:rPr>
          <w:lang w:eastAsia="ja-JP"/>
        </w:rPr>
        <w:t>本構想は、陸奥湾におけるメガフロート整備を、単なる海上開発としてではなく、海域利用、水産業、港湾物流及び地域経済の両立を前提とした空間再設計として整理しようとするものである。</w:t>
      </w:r>
      <w:r>
        <w:rPr>
          <w:lang w:eastAsia="ja-JP"/>
        </w:rPr>
        <w:lastRenderedPageBreak/>
        <w:t>すなわち、海域を一方的に置き換えるのではなく、漁業権、漁場、水産業及び沿岸利用との関係を整理し、共存可能な形で民生基盤整備を進めることを目的とするものである。</w:t>
      </w:r>
    </w:p>
    <w:p w14:paraId="3D747D82" w14:textId="77777777" w:rsidR="008960FB" w:rsidRDefault="00000000">
      <w:pPr>
        <w:pStyle w:val="1"/>
        <w:spacing w:after="60" w:line="360" w:lineRule="exact"/>
        <w:rPr>
          <w:lang w:eastAsia="ja-JP"/>
        </w:rPr>
      </w:pPr>
      <w:r>
        <w:rPr>
          <w:lang w:eastAsia="ja-JP"/>
        </w:rPr>
        <w:t>2</w:t>
      </w:r>
      <w:r>
        <w:rPr>
          <w:lang w:eastAsia="ja-JP"/>
        </w:rPr>
        <w:t>．陸奥湾の位置づけ</w:t>
      </w:r>
    </w:p>
    <w:p w14:paraId="38FFAC62" w14:textId="77777777" w:rsidR="008960FB" w:rsidRDefault="00000000">
      <w:pPr>
        <w:spacing w:after="60" w:line="360" w:lineRule="exact"/>
        <w:rPr>
          <w:lang w:eastAsia="ja-JP"/>
        </w:rPr>
      </w:pPr>
      <w:r>
        <w:rPr>
          <w:lang w:eastAsia="ja-JP"/>
        </w:rPr>
        <w:t>本構想において陸奥湾を対象とする理由は、内湾としての安定性を有し、港湾、物流及び広域基盤整備との接続可能性を持つ一方で、既存の漁業活動、漁場利用及び沿岸経済とも密接に関係しているためである。このため、陸奥湾は単なる空白海域としてではなく、既存利用が存在する調整対象空間として捉えることが適当である。</w:t>
      </w:r>
    </w:p>
    <w:p w14:paraId="4385025E" w14:textId="77777777" w:rsidR="008960FB" w:rsidRDefault="00000000">
      <w:pPr>
        <w:pStyle w:val="1"/>
        <w:spacing w:after="60" w:line="360" w:lineRule="exact"/>
        <w:rPr>
          <w:lang w:eastAsia="ja-JP"/>
        </w:rPr>
      </w:pPr>
      <w:r>
        <w:rPr>
          <w:lang w:eastAsia="ja-JP"/>
        </w:rPr>
        <w:t>3</w:t>
      </w:r>
      <w:r>
        <w:rPr>
          <w:lang w:eastAsia="ja-JP"/>
        </w:rPr>
        <w:t>．漁業権調整及び漁場との共存設計</w:t>
      </w:r>
    </w:p>
    <w:p w14:paraId="60B8B706" w14:textId="77777777" w:rsidR="008960FB" w:rsidRDefault="00000000">
      <w:pPr>
        <w:spacing w:after="60" w:line="360" w:lineRule="exact"/>
        <w:rPr>
          <w:lang w:eastAsia="ja-JP"/>
        </w:rPr>
      </w:pPr>
      <w:r>
        <w:rPr>
          <w:lang w:eastAsia="ja-JP"/>
        </w:rPr>
        <w:t>本構想の基本認識は、メガフロート整備を進めるに当たり、漁業権調整及び漁場との共存設計を前提に置く点にある。すなわち、漁業権との関係、操業への影響、漁場環境への影響及び沿岸利用への影響を個別に把握し、影響最小化を原則として配置、規模及び利用形態を調整する必要がある。このため、本構想は、海域を新規利用する計画であると同時に、漁協、沿岸自治体及び地域関係者との協議を前提とした共存型設計構想として整理することが適当である。</w:t>
      </w:r>
    </w:p>
    <w:p w14:paraId="29524A15" w14:textId="77777777" w:rsidR="008960FB" w:rsidRDefault="00000000">
      <w:pPr>
        <w:pStyle w:val="1"/>
        <w:spacing w:after="60" w:line="360" w:lineRule="exact"/>
        <w:rPr>
          <w:lang w:eastAsia="ja-JP"/>
        </w:rPr>
      </w:pPr>
      <w:r>
        <w:rPr>
          <w:lang w:eastAsia="ja-JP"/>
        </w:rPr>
        <w:t>4</w:t>
      </w:r>
      <w:r>
        <w:rPr>
          <w:lang w:eastAsia="ja-JP"/>
        </w:rPr>
        <w:t>．水産業への影響緩和と地域経済との接続</w:t>
      </w:r>
    </w:p>
    <w:p w14:paraId="54F0C67E" w14:textId="77777777" w:rsidR="008960FB" w:rsidRDefault="00000000">
      <w:pPr>
        <w:spacing w:after="60" w:line="360" w:lineRule="exact"/>
        <w:rPr>
          <w:lang w:eastAsia="ja-JP"/>
        </w:rPr>
      </w:pPr>
      <w:r>
        <w:rPr>
          <w:lang w:eastAsia="ja-JP"/>
        </w:rPr>
        <w:t>本構想は、水産業への影響を単に補償論として扱うのではなく、水産業との接続可能性を含めて整理する。メガフロート整備に伴い、水産物の物流、保冷、中継、輸送及び広域流通機能との接続余地が生じる場合には、これを地域水産業に資する形で位置づけることが考えられる。したがって、本構想は、水産業との摩擦を抑えるだけでなく、水産物流及び地域経済との接続可能性も視野に入れた整理が必要である。</w:t>
      </w:r>
    </w:p>
    <w:p w14:paraId="33FBB8D3" w14:textId="77777777" w:rsidR="008960FB" w:rsidRDefault="00000000">
      <w:pPr>
        <w:pStyle w:val="1"/>
        <w:spacing w:after="60" w:line="360" w:lineRule="exact"/>
        <w:rPr>
          <w:lang w:eastAsia="ja-JP"/>
        </w:rPr>
      </w:pPr>
      <w:r>
        <w:rPr>
          <w:lang w:eastAsia="ja-JP"/>
        </w:rPr>
        <w:t>5</w:t>
      </w:r>
      <w:r>
        <w:rPr>
          <w:lang w:eastAsia="ja-JP"/>
        </w:rPr>
        <w:t>．関係省庁との接続</w:t>
      </w:r>
    </w:p>
    <w:p w14:paraId="5AEE4374" w14:textId="77777777" w:rsidR="008960FB" w:rsidRDefault="00000000">
      <w:pPr>
        <w:spacing w:after="60" w:line="360" w:lineRule="exact"/>
        <w:rPr>
          <w:lang w:eastAsia="ja-JP"/>
        </w:rPr>
      </w:pPr>
      <w:r>
        <w:rPr>
          <w:lang w:eastAsia="ja-JP"/>
        </w:rPr>
        <w:t>本構想は、海域利用調整を農林水産行政のみで完結するものとは考えず、国土交通省による港湾・物流基盤整備、環境省による環境影響評価及び自然環境との調和と接続して進める必要がある。すなわち、農林水産省向けには、漁業権、漁場及び水産業との共存を中心に整理しつつ、海域利用全体としての整合性を確保する観点が重要となる。</w:t>
      </w:r>
    </w:p>
    <w:p w14:paraId="019E99F4" w14:textId="77777777" w:rsidR="008960FB" w:rsidRDefault="00000000">
      <w:pPr>
        <w:pStyle w:val="1"/>
        <w:spacing w:after="60" w:line="360" w:lineRule="exact"/>
        <w:rPr>
          <w:lang w:eastAsia="ja-JP"/>
        </w:rPr>
      </w:pPr>
      <w:r>
        <w:rPr>
          <w:lang w:eastAsia="ja-JP"/>
        </w:rPr>
        <w:t>6</w:t>
      </w:r>
      <w:r>
        <w:rPr>
          <w:lang w:eastAsia="ja-JP"/>
        </w:rPr>
        <w:t>．地域合意形成</w:t>
      </w:r>
    </w:p>
    <w:p w14:paraId="3C84CCD4" w14:textId="77777777" w:rsidR="008960FB" w:rsidRDefault="00000000">
      <w:pPr>
        <w:spacing w:after="60" w:line="360" w:lineRule="exact"/>
        <w:rPr>
          <w:lang w:eastAsia="ja-JP"/>
        </w:rPr>
      </w:pPr>
      <w:r>
        <w:rPr>
          <w:lang w:eastAsia="ja-JP"/>
        </w:rPr>
        <w:t>本構想は、地域合意形成を重視する。漁協、沿岸自治体、地域事業者その他の関係主体との協議を行い、一括決定ではなく段階的な調整を通じて、地域受容性を確保することが必要である。こ</w:t>
      </w:r>
      <w:r>
        <w:rPr>
          <w:lang w:eastAsia="ja-JP"/>
        </w:rPr>
        <w:lastRenderedPageBreak/>
        <w:t>の意味において、本構想は、単なる大型開発計画ではなく、地域合意形成を前提とした共存型海域再設計として位置づけることが適当である。</w:t>
      </w:r>
    </w:p>
    <w:p w14:paraId="4DB2BAC8" w14:textId="77777777" w:rsidR="008960FB" w:rsidRDefault="00000000">
      <w:pPr>
        <w:pStyle w:val="1"/>
        <w:spacing w:after="60" w:line="360" w:lineRule="exact"/>
        <w:rPr>
          <w:lang w:eastAsia="ja-JP"/>
        </w:rPr>
      </w:pPr>
      <w:r>
        <w:rPr>
          <w:lang w:eastAsia="ja-JP"/>
        </w:rPr>
        <w:t>7</w:t>
      </w:r>
      <w:r>
        <w:rPr>
          <w:lang w:eastAsia="ja-JP"/>
        </w:rPr>
        <w:t>．結論</w:t>
      </w:r>
    </w:p>
    <w:p w14:paraId="5CB460D3" w14:textId="77777777" w:rsidR="008960FB" w:rsidRDefault="00000000">
      <w:pPr>
        <w:spacing w:after="60" w:line="360" w:lineRule="exact"/>
        <w:rPr>
          <w:lang w:eastAsia="ja-JP"/>
        </w:rPr>
      </w:pPr>
      <w:r>
        <w:rPr>
          <w:lang w:eastAsia="ja-JP"/>
        </w:rPr>
        <w:t>以上のとおり、本構想は、メガフロート整備を漁業権及び漁場利用と対立的に捉えるのではなく、海域利用調整、漁業権調整、漁場との共存設計、水産業への影響緩和及び地域水産物流との接続を通じて、水産業と両立し得る形で進めようとするものである。農林水産省向け説明においては、漁業権及び漁場との共存設計、地域関係者との合意形成、水産業への影響緩和並びに水産物流を含む地域経済との接続可能性を中心に整理することが適当である。</w:t>
      </w:r>
    </w:p>
    <w:p w14:paraId="0EF35426" w14:textId="77777777" w:rsidR="008960FB" w:rsidRDefault="00000000">
      <w:pPr>
        <w:spacing w:before="120" w:line="240" w:lineRule="exact"/>
        <w:rPr>
          <w:lang w:eastAsia="ja-JP"/>
        </w:rPr>
      </w:pPr>
      <w:r>
        <w:rPr>
          <w:sz w:val="17"/>
          <w:lang w:eastAsia="ja-JP"/>
        </w:rPr>
        <w:t>注）本資料は説明用整理案であり、記載内容については、今後、漁業権、海域利用、地域合意形成及び既存制度との整合性を踏まえてさらに精査する前提である。</w:t>
      </w:r>
    </w:p>
    <w:sectPr w:rsidR="008960FB"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487281264">
    <w:abstractNumId w:val="8"/>
  </w:num>
  <w:num w:numId="2" w16cid:durableId="2066369445">
    <w:abstractNumId w:val="6"/>
  </w:num>
  <w:num w:numId="3" w16cid:durableId="1147169598">
    <w:abstractNumId w:val="5"/>
  </w:num>
  <w:num w:numId="4" w16cid:durableId="935291104">
    <w:abstractNumId w:val="4"/>
  </w:num>
  <w:num w:numId="5" w16cid:durableId="2051682727">
    <w:abstractNumId w:val="7"/>
  </w:num>
  <w:num w:numId="6" w16cid:durableId="2144500426">
    <w:abstractNumId w:val="3"/>
  </w:num>
  <w:num w:numId="7" w16cid:durableId="1300306893">
    <w:abstractNumId w:val="2"/>
  </w:num>
  <w:num w:numId="8" w16cid:durableId="150409722">
    <w:abstractNumId w:val="1"/>
  </w:num>
  <w:num w:numId="9" w16cid:durableId="1259096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960FB"/>
    <w:rsid w:val="00AA1D8D"/>
    <w:rsid w:val="00B47730"/>
    <w:rsid w:val="00C6082E"/>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5BE97429"/>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C6082E"/>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2026-04-13T10:56:00Z</dcterms:modified>
  <cp:category/>
</cp:coreProperties>
</file>