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F6837" w14:textId="77777777" w:rsidR="00506C7A" w:rsidRDefault="00506C7A" w:rsidP="00506C7A">
      <w:pPr>
        <w:pStyle w:val="SmallHeader"/>
        <w:jc w:val="center"/>
        <w:rPr>
          <w:lang w:eastAsia="ja-JP"/>
        </w:rPr>
      </w:pPr>
    </w:p>
    <w:p w14:paraId="140DF9BF" w14:textId="77777777" w:rsidR="00506C7A" w:rsidRDefault="00506C7A" w:rsidP="00506C7A">
      <w:pPr>
        <w:pStyle w:val="SmallHeader"/>
        <w:rPr>
          <w:lang w:eastAsia="ja-JP"/>
        </w:rPr>
      </w:pPr>
    </w:p>
    <w:p w14:paraId="7732E036" w14:textId="77777777" w:rsidR="00506C7A" w:rsidRDefault="00506C7A" w:rsidP="00506C7A">
      <w:pPr>
        <w:pStyle w:val="SmallHeader"/>
        <w:rPr>
          <w:lang w:eastAsia="ja-JP"/>
        </w:rPr>
      </w:pPr>
    </w:p>
    <w:p w14:paraId="75D070EC" w14:textId="77777777" w:rsidR="00506C7A" w:rsidRDefault="00506C7A" w:rsidP="00506C7A">
      <w:pPr>
        <w:pStyle w:val="SmallHeader"/>
        <w:rPr>
          <w:lang w:eastAsia="ja-JP"/>
        </w:rPr>
      </w:pPr>
    </w:p>
    <w:p w14:paraId="667CF302" w14:textId="77777777" w:rsidR="00506C7A" w:rsidRPr="00506C7A" w:rsidRDefault="00506C7A" w:rsidP="00506C7A">
      <w:pPr>
        <w:pStyle w:val="SmallHeader"/>
        <w:jc w:val="center"/>
        <w:rPr>
          <w:sz w:val="36"/>
          <w:szCs w:val="48"/>
          <w:lang w:eastAsia="ja-JP"/>
        </w:rPr>
      </w:pPr>
      <w:r w:rsidRPr="00506C7A">
        <w:rPr>
          <w:rFonts w:hint="eastAsia"/>
          <w:sz w:val="36"/>
          <w:szCs w:val="48"/>
          <w:lang w:eastAsia="ja-JP"/>
        </w:rPr>
        <w:t>北日本戦略再設計構想</w:t>
      </w:r>
    </w:p>
    <w:p w14:paraId="62837C2D" w14:textId="77777777" w:rsidR="00506C7A" w:rsidRPr="00506C7A" w:rsidRDefault="00506C7A" w:rsidP="00506C7A">
      <w:pPr>
        <w:pStyle w:val="SmallHeader"/>
        <w:jc w:val="center"/>
        <w:rPr>
          <w:sz w:val="36"/>
          <w:szCs w:val="48"/>
          <w:lang w:eastAsia="ja-JP"/>
        </w:rPr>
      </w:pPr>
      <w:r w:rsidRPr="00506C7A">
        <w:rPr>
          <w:rFonts w:hint="eastAsia"/>
          <w:sz w:val="36"/>
          <w:szCs w:val="48"/>
          <w:lang w:eastAsia="ja-JP"/>
        </w:rPr>
        <w:t>【環境省向け説明資料】</w:t>
      </w:r>
    </w:p>
    <w:p w14:paraId="0DDA2609" w14:textId="77777777" w:rsidR="00506C7A" w:rsidRDefault="00506C7A" w:rsidP="00506C7A">
      <w:pPr>
        <w:pStyle w:val="SmallHeader"/>
        <w:jc w:val="center"/>
        <w:rPr>
          <w:sz w:val="36"/>
          <w:szCs w:val="48"/>
          <w:lang w:eastAsia="ja-JP"/>
        </w:rPr>
      </w:pPr>
      <w:r w:rsidRPr="00506C7A">
        <w:rPr>
          <w:rFonts w:hint="eastAsia"/>
          <w:sz w:val="36"/>
          <w:szCs w:val="48"/>
          <w:lang w:eastAsia="ja-JP"/>
        </w:rPr>
        <w:t>環境調和・段階的環境影響評価</w:t>
      </w:r>
    </w:p>
    <w:p w14:paraId="59CE19CF" w14:textId="0DFBBEFA" w:rsidR="00506C7A" w:rsidRPr="007C7587" w:rsidRDefault="00506C7A" w:rsidP="00506C7A">
      <w:pPr>
        <w:pStyle w:val="SmallHeader"/>
        <w:jc w:val="center"/>
        <w:rPr>
          <w:sz w:val="36"/>
          <w:szCs w:val="48"/>
          <w:lang w:eastAsia="ja-JP"/>
        </w:rPr>
      </w:pPr>
      <w:r w:rsidRPr="00506C7A">
        <w:rPr>
          <w:rFonts w:hint="eastAsia"/>
          <w:sz w:val="36"/>
          <w:szCs w:val="48"/>
          <w:lang w:eastAsia="ja-JP"/>
        </w:rPr>
        <w:t>再生可能エネルギー整合に関する説明資料</w:t>
      </w:r>
    </w:p>
    <w:p w14:paraId="52C0F34A" w14:textId="77777777" w:rsidR="00506C7A" w:rsidRDefault="00506C7A" w:rsidP="00506C7A">
      <w:pPr>
        <w:pStyle w:val="SmallHeader"/>
        <w:jc w:val="center"/>
        <w:rPr>
          <w:lang w:eastAsia="ja-JP"/>
        </w:rPr>
      </w:pPr>
    </w:p>
    <w:p w14:paraId="4F423699" w14:textId="77777777" w:rsidR="00506C7A" w:rsidRDefault="00506C7A" w:rsidP="00506C7A">
      <w:pPr>
        <w:pStyle w:val="SmallHeader"/>
        <w:jc w:val="center"/>
        <w:rPr>
          <w:lang w:eastAsia="ja-JP"/>
        </w:rPr>
      </w:pPr>
    </w:p>
    <w:p w14:paraId="3A3567D2" w14:textId="77777777" w:rsidR="00506C7A" w:rsidRDefault="00506C7A" w:rsidP="00506C7A">
      <w:pPr>
        <w:pStyle w:val="SmallHeader"/>
        <w:jc w:val="center"/>
        <w:rPr>
          <w:lang w:eastAsia="ja-JP"/>
        </w:rPr>
      </w:pPr>
    </w:p>
    <w:p w14:paraId="2DDCADC5" w14:textId="77777777" w:rsidR="00506C7A" w:rsidRDefault="00506C7A" w:rsidP="00506C7A">
      <w:pPr>
        <w:pStyle w:val="SmallHeader"/>
        <w:jc w:val="center"/>
        <w:rPr>
          <w:rFonts w:hint="eastAsia"/>
          <w:lang w:eastAsia="ja-JP"/>
        </w:rPr>
      </w:pPr>
    </w:p>
    <w:p w14:paraId="0603272D" w14:textId="77777777" w:rsidR="00506C7A" w:rsidRPr="007C7587" w:rsidRDefault="00506C7A" w:rsidP="00506C7A">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42029D33" w14:textId="77777777" w:rsidR="00506C7A" w:rsidRPr="007C7587" w:rsidRDefault="00506C7A" w:rsidP="00506C7A">
      <w:pPr>
        <w:pStyle w:val="SmallHeader"/>
        <w:jc w:val="center"/>
        <w:rPr>
          <w:sz w:val="22"/>
          <w:szCs w:val="32"/>
          <w:lang w:eastAsia="ja-JP"/>
        </w:rPr>
      </w:pPr>
      <w:r w:rsidRPr="007C7587">
        <w:rPr>
          <w:rFonts w:hint="eastAsia"/>
          <w:sz w:val="22"/>
          <w:szCs w:val="32"/>
          <w:lang w:eastAsia="ja-JP"/>
        </w:rPr>
        <w:t>提出日：令和○年○月○日</w:t>
      </w:r>
    </w:p>
    <w:p w14:paraId="4FBC3C9C" w14:textId="77777777" w:rsidR="00506C7A" w:rsidRDefault="00506C7A">
      <w:pPr>
        <w:spacing w:after="60" w:line="360" w:lineRule="exact"/>
        <w:jc w:val="right"/>
        <w:rPr>
          <w:sz w:val="18"/>
          <w:lang w:eastAsia="ja-JP"/>
        </w:rPr>
      </w:pPr>
    </w:p>
    <w:p w14:paraId="4CD1E986" w14:textId="77777777" w:rsidR="00506C7A" w:rsidRDefault="00506C7A">
      <w:pPr>
        <w:spacing w:after="60" w:line="360" w:lineRule="exact"/>
        <w:jc w:val="right"/>
        <w:rPr>
          <w:sz w:val="18"/>
          <w:lang w:eastAsia="ja-JP"/>
        </w:rPr>
      </w:pPr>
    </w:p>
    <w:p w14:paraId="7C510F30" w14:textId="77777777" w:rsidR="00506C7A" w:rsidRDefault="00506C7A">
      <w:pPr>
        <w:spacing w:after="60" w:line="360" w:lineRule="exact"/>
        <w:jc w:val="right"/>
        <w:rPr>
          <w:sz w:val="18"/>
          <w:lang w:eastAsia="ja-JP"/>
        </w:rPr>
      </w:pPr>
    </w:p>
    <w:p w14:paraId="16C0AA96" w14:textId="77777777" w:rsidR="00506C7A" w:rsidRDefault="00506C7A">
      <w:pPr>
        <w:spacing w:after="60" w:line="360" w:lineRule="exact"/>
        <w:jc w:val="right"/>
        <w:rPr>
          <w:sz w:val="18"/>
          <w:lang w:eastAsia="ja-JP"/>
        </w:rPr>
      </w:pPr>
    </w:p>
    <w:p w14:paraId="1FFEB3D0" w14:textId="77777777" w:rsidR="00506C7A" w:rsidRDefault="00506C7A">
      <w:pPr>
        <w:spacing w:after="60" w:line="360" w:lineRule="exact"/>
        <w:jc w:val="right"/>
        <w:rPr>
          <w:sz w:val="18"/>
          <w:lang w:eastAsia="ja-JP"/>
        </w:rPr>
      </w:pPr>
    </w:p>
    <w:p w14:paraId="34425368" w14:textId="77777777" w:rsidR="00506C7A" w:rsidRDefault="00506C7A">
      <w:pPr>
        <w:spacing w:after="60" w:line="360" w:lineRule="exact"/>
        <w:jc w:val="right"/>
        <w:rPr>
          <w:sz w:val="18"/>
          <w:lang w:eastAsia="ja-JP"/>
        </w:rPr>
      </w:pPr>
    </w:p>
    <w:p w14:paraId="19E85C74" w14:textId="77777777" w:rsidR="00506C7A" w:rsidRDefault="00506C7A">
      <w:pPr>
        <w:spacing w:after="60" w:line="360" w:lineRule="exact"/>
        <w:jc w:val="right"/>
        <w:rPr>
          <w:sz w:val="18"/>
          <w:lang w:eastAsia="ja-JP"/>
        </w:rPr>
      </w:pPr>
    </w:p>
    <w:p w14:paraId="74A04FA7" w14:textId="77777777" w:rsidR="00506C7A" w:rsidRPr="00506C7A" w:rsidRDefault="00506C7A">
      <w:pPr>
        <w:spacing w:after="60" w:line="360" w:lineRule="exact"/>
        <w:jc w:val="right"/>
        <w:rPr>
          <w:rFonts w:hint="eastAsia"/>
          <w:sz w:val="18"/>
          <w:lang w:eastAsia="ja-JP"/>
        </w:rPr>
      </w:pPr>
    </w:p>
    <w:p w14:paraId="2D0B57A3" w14:textId="77777777" w:rsidR="00506C7A" w:rsidRDefault="00506C7A">
      <w:pPr>
        <w:spacing w:after="60" w:line="360" w:lineRule="exact"/>
        <w:jc w:val="right"/>
        <w:rPr>
          <w:sz w:val="18"/>
          <w:lang w:eastAsia="ja-JP"/>
        </w:rPr>
      </w:pPr>
    </w:p>
    <w:p w14:paraId="23D08115" w14:textId="77777777" w:rsidR="00506C7A" w:rsidRDefault="00506C7A">
      <w:pPr>
        <w:spacing w:after="60" w:line="360" w:lineRule="exact"/>
        <w:jc w:val="right"/>
        <w:rPr>
          <w:sz w:val="18"/>
          <w:lang w:eastAsia="ja-JP"/>
        </w:rPr>
      </w:pPr>
    </w:p>
    <w:p w14:paraId="19EEF978" w14:textId="77777777" w:rsidR="00506C7A" w:rsidRDefault="00506C7A">
      <w:pPr>
        <w:spacing w:after="60" w:line="360" w:lineRule="exact"/>
        <w:jc w:val="right"/>
        <w:rPr>
          <w:sz w:val="18"/>
          <w:lang w:eastAsia="ja-JP"/>
        </w:rPr>
      </w:pPr>
    </w:p>
    <w:p w14:paraId="18E14775" w14:textId="77777777" w:rsidR="00506C7A" w:rsidRDefault="00506C7A">
      <w:pPr>
        <w:spacing w:after="60" w:line="360" w:lineRule="exact"/>
        <w:jc w:val="right"/>
        <w:rPr>
          <w:sz w:val="18"/>
          <w:lang w:eastAsia="ja-JP"/>
        </w:rPr>
      </w:pPr>
    </w:p>
    <w:p w14:paraId="480FFC44" w14:textId="77777777" w:rsidR="00506C7A" w:rsidRDefault="00506C7A">
      <w:pPr>
        <w:spacing w:after="60" w:line="360" w:lineRule="exact"/>
        <w:jc w:val="right"/>
        <w:rPr>
          <w:sz w:val="18"/>
          <w:lang w:eastAsia="ja-JP"/>
        </w:rPr>
      </w:pPr>
    </w:p>
    <w:p w14:paraId="07D32D21" w14:textId="157F19DD" w:rsidR="002E54E7" w:rsidRDefault="00000000">
      <w:pPr>
        <w:spacing w:after="60" w:line="360" w:lineRule="exact"/>
        <w:jc w:val="right"/>
        <w:rPr>
          <w:lang w:eastAsia="ja-JP"/>
        </w:rPr>
      </w:pPr>
      <w:r>
        <w:rPr>
          <w:sz w:val="18"/>
          <w:lang w:eastAsia="ja-JP"/>
        </w:rPr>
        <w:lastRenderedPageBreak/>
        <w:t>環境省向け／説明資料（案）</w:t>
      </w:r>
    </w:p>
    <w:p w14:paraId="4B76F10D" w14:textId="77777777" w:rsidR="002E54E7" w:rsidRDefault="00000000">
      <w:pPr>
        <w:pStyle w:val="aa"/>
        <w:spacing w:after="120" w:line="360" w:lineRule="exact"/>
        <w:jc w:val="center"/>
        <w:rPr>
          <w:lang w:eastAsia="ja-JP"/>
        </w:rPr>
      </w:pPr>
      <w:r>
        <w:rPr>
          <w:lang w:eastAsia="ja-JP"/>
        </w:rPr>
        <w:t>北日本戦略再設計構想</w:t>
      </w:r>
    </w:p>
    <w:p w14:paraId="2D0A640E" w14:textId="77777777" w:rsidR="002E54E7" w:rsidRDefault="00000000">
      <w:pPr>
        <w:pStyle w:val="ac"/>
        <w:spacing w:after="60" w:line="360" w:lineRule="exact"/>
        <w:jc w:val="center"/>
        <w:rPr>
          <w:lang w:eastAsia="ja-JP"/>
        </w:rPr>
      </w:pPr>
      <w:r>
        <w:rPr>
          <w:lang w:eastAsia="ja-JP"/>
        </w:rPr>
        <w:t>環境調和・再生可能エネルギー整合・段階的環境配慮に関する説明資料</w:t>
      </w:r>
    </w:p>
    <w:p w14:paraId="02AD28E2" w14:textId="77777777" w:rsidR="002E54E7" w:rsidRDefault="00000000">
      <w:pPr>
        <w:pStyle w:val="ac"/>
        <w:spacing w:after="240" w:line="360" w:lineRule="exact"/>
        <w:jc w:val="center"/>
        <w:rPr>
          <w:lang w:eastAsia="ja-JP"/>
        </w:rPr>
      </w:pPr>
      <w:r>
        <w:rPr>
          <w:lang w:eastAsia="ja-JP"/>
        </w:rPr>
        <w:t>（環境省向け）</w:t>
      </w:r>
    </w:p>
    <w:p w14:paraId="480617A1" w14:textId="77777777" w:rsidR="002E54E7" w:rsidRDefault="00000000">
      <w:pPr>
        <w:pStyle w:val="21"/>
        <w:spacing w:after="60" w:line="360" w:lineRule="exact"/>
        <w:rPr>
          <w:lang w:eastAsia="ja-JP"/>
        </w:rPr>
      </w:pPr>
      <w:r>
        <w:rPr>
          <w:lang w:eastAsia="ja-JP"/>
        </w:rPr>
        <w:t>作成目的</w:t>
      </w:r>
    </w:p>
    <w:p w14:paraId="2CC557CE" w14:textId="77777777" w:rsidR="002E54E7" w:rsidRDefault="00000000">
      <w:pPr>
        <w:spacing w:after="60" w:line="360" w:lineRule="exact"/>
        <w:rPr>
          <w:lang w:eastAsia="ja-JP"/>
        </w:rPr>
      </w:pPr>
      <w:r>
        <w:rPr>
          <w:lang w:eastAsia="ja-JP"/>
        </w:rPr>
        <w:t>本資料は、北日本戦略再設計構想について、自然環境、海域環境、景観及び再生可能エネルギー政策との整合の観点から整理し、環境省向け説明用資料として取りまとめるものである。</w:t>
      </w:r>
    </w:p>
    <w:p w14:paraId="29C63BED" w14:textId="77777777" w:rsidR="002E54E7" w:rsidRDefault="00000000">
      <w:pPr>
        <w:pStyle w:val="21"/>
        <w:spacing w:after="60" w:line="360" w:lineRule="exact"/>
        <w:rPr>
          <w:lang w:eastAsia="ja-JP"/>
        </w:rPr>
      </w:pPr>
      <w:r>
        <w:rPr>
          <w:lang w:eastAsia="ja-JP"/>
        </w:rPr>
        <w:t>位置づけ</w:t>
      </w:r>
    </w:p>
    <w:p w14:paraId="34F5AE84" w14:textId="77777777" w:rsidR="002E54E7" w:rsidRDefault="00000000">
      <w:pPr>
        <w:spacing w:after="60" w:line="360" w:lineRule="exact"/>
        <w:rPr>
          <w:lang w:eastAsia="ja-JP"/>
        </w:rPr>
      </w:pPr>
      <w:r>
        <w:rPr>
          <w:lang w:eastAsia="ja-JP"/>
        </w:rPr>
        <w:t>本資料は総合版から環境省向け論点を抽出した説明資料であり、記載内容については、今後、環境影響評価、自然環境保全、海域利用及び既存施策との整合性を踏まえてさらに精査する前提で整理したものである。</w:t>
      </w:r>
    </w:p>
    <w:p w14:paraId="5034D95D" w14:textId="77777777" w:rsidR="002E54E7" w:rsidRDefault="00000000">
      <w:pPr>
        <w:pStyle w:val="1"/>
        <w:spacing w:after="60" w:line="360" w:lineRule="exact"/>
        <w:rPr>
          <w:lang w:eastAsia="ja-JP"/>
        </w:rPr>
      </w:pPr>
      <w:r>
        <w:rPr>
          <w:lang w:eastAsia="ja-JP"/>
        </w:rPr>
        <w:t>0</w:t>
      </w:r>
      <w:r>
        <w:rPr>
          <w:lang w:eastAsia="ja-JP"/>
        </w:rPr>
        <w:t>．要旨</w:t>
      </w:r>
    </w:p>
    <w:p w14:paraId="1683B5B4" w14:textId="77777777" w:rsidR="002E54E7" w:rsidRDefault="00000000">
      <w:pPr>
        <w:pStyle w:val="21"/>
        <w:spacing w:after="60" w:line="360" w:lineRule="exact"/>
        <w:rPr>
          <w:lang w:eastAsia="ja-JP"/>
        </w:rPr>
      </w:pPr>
      <w:r>
        <w:rPr>
          <w:lang w:eastAsia="ja-JP"/>
        </w:rPr>
        <w:t>0-1</w:t>
      </w:r>
      <w:r>
        <w:rPr>
          <w:lang w:eastAsia="ja-JP"/>
        </w:rPr>
        <w:t>．一行要旨</w:t>
      </w:r>
    </w:p>
    <w:p w14:paraId="55DE89F7" w14:textId="77777777" w:rsidR="002E54E7" w:rsidRDefault="00000000">
      <w:pPr>
        <w:spacing w:after="60" w:line="360" w:lineRule="exact"/>
        <w:rPr>
          <w:lang w:eastAsia="ja-JP"/>
        </w:rPr>
      </w:pPr>
      <w:r>
        <w:rPr>
          <w:lang w:eastAsia="ja-JP"/>
        </w:rPr>
        <w:t>本構想は、北日本における基盤整備を、自然環境、海域環境、景観及び再生可能エネルギー政策との整合の下で段階的に進めようとする構想である。</w:t>
      </w:r>
    </w:p>
    <w:p w14:paraId="555F9ED2" w14:textId="77777777" w:rsidR="002E54E7" w:rsidRDefault="00000000">
      <w:pPr>
        <w:pStyle w:val="21"/>
        <w:spacing w:after="60" w:line="360" w:lineRule="exact"/>
        <w:rPr>
          <w:lang w:eastAsia="ja-JP"/>
        </w:rPr>
      </w:pPr>
      <w:r>
        <w:rPr>
          <w:lang w:eastAsia="ja-JP"/>
        </w:rPr>
        <w:t>0-2</w:t>
      </w:r>
      <w:r>
        <w:rPr>
          <w:lang w:eastAsia="ja-JP"/>
        </w:rPr>
        <w:t>．要点</w:t>
      </w:r>
    </w:p>
    <w:p w14:paraId="505CD32D" w14:textId="77777777" w:rsidR="002E54E7" w:rsidRDefault="00000000">
      <w:pPr>
        <w:spacing w:after="60" w:line="360" w:lineRule="exact"/>
        <w:ind w:left="340" w:hanging="170"/>
        <w:rPr>
          <w:lang w:eastAsia="ja-JP"/>
        </w:rPr>
      </w:pPr>
      <w:r>
        <w:rPr>
          <w:lang w:eastAsia="ja-JP"/>
        </w:rPr>
        <w:t>① 基本認識</w:t>
      </w:r>
      <w:r>
        <w:rPr>
          <w:lang w:eastAsia="ja-JP"/>
        </w:rPr>
        <w:br/>
        <w:t>本構想は、エネルギー基盤、物流基盤、計算基盤及び民生基盤の整備を、単なる大型開発ではなく、環境保全と基盤整備の両立を図る段階的空間実装として整理しようとするものである。</w:t>
      </w:r>
    </w:p>
    <w:p w14:paraId="141E4CFA" w14:textId="77777777" w:rsidR="002E54E7" w:rsidRDefault="00000000">
      <w:pPr>
        <w:spacing w:after="60" w:line="360" w:lineRule="exact"/>
        <w:ind w:left="340" w:hanging="170"/>
        <w:rPr>
          <w:lang w:eastAsia="ja-JP"/>
        </w:rPr>
      </w:pPr>
      <w:r>
        <w:rPr>
          <w:lang w:eastAsia="ja-JP"/>
        </w:rPr>
        <w:t>② 環境上の主眼</w:t>
      </w:r>
      <w:r>
        <w:rPr>
          <w:lang w:eastAsia="ja-JP"/>
        </w:rPr>
        <w:br/>
        <w:t>メガフロート整備その他の基盤整備に当たっては、海流、水質、生態系、景観及び自然環境への影響を個別に把握し、影響最小化を原則として配置、規模及び利用形態を調整する。</w:t>
      </w:r>
    </w:p>
    <w:p w14:paraId="697BCE50" w14:textId="77777777" w:rsidR="002E54E7" w:rsidRDefault="00000000">
      <w:pPr>
        <w:spacing w:after="60" w:line="360" w:lineRule="exact"/>
        <w:ind w:left="340" w:hanging="170"/>
        <w:rPr>
          <w:lang w:eastAsia="ja-JP"/>
        </w:rPr>
      </w:pPr>
      <w:r>
        <w:rPr>
          <w:lang w:eastAsia="ja-JP"/>
        </w:rPr>
        <w:t>③ 政策的意義</w:t>
      </w:r>
      <w:r>
        <w:rPr>
          <w:lang w:eastAsia="ja-JP"/>
        </w:rPr>
        <w:br/>
        <w:t>海域環境との調和、地熱開発及び再生可能エネルギー政策との整合、景観及び自然環境との共存並びに段階的環境影響評価を通じて、持続可能な基盤整備モデル形成を図る。</w:t>
      </w:r>
    </w:p>
    <w:p w14:paraId="4DA6B571" w14:textId="77777777" w:rsidR="002E54E7" w:rsidRDefault="00000000">
      <w:pPr>
        <w:pStyle w:val="1"/>
        <w:spacing w:after="60" w:line="360" w:lineRule="exact"/>
        <w:rPr>
          <w:lang w:eastAsia="ja-JP"/>
        </w:rPr>
      </w:pPr>
      <w:r>
        <w:rPr>
          <w:lang w:eastAsia="ja-JP"/>
        </w:rPr>
        <w:t>1</w:t>
      </w:r>
      <w:r>
        <w:rPr>
          <w:lang w:eastAsia="ja-JP"/>
        </w:rPr>
        <w:t>．本構想の基本認識</w:t>
      </w:r>
    </w:p>
    <w:p w14:paraId="0F8B9CDA" w14:textId="77777777" w:rsidR="002E54E7" w:rsidRDefault="00000000">
      <w:pPr>
        <w:spacing w:after="60" w:line="360" w:lineRule="exact"/>
        <w:rPr>
          <w:lang w:eastAsia="ja-JP"/>
        </w:rPr>
      </w:pPr>
      <w:r>
        <w:rPr>
          <w:lang w:eastAsia="ja-JP"/>
        </w:rPr>
        <w:t>本構想は、北日本におけるエネルギー基盤、物流基盤、計算基盤及び民生基盤の整備を進めるに当たり、これを自然環境、海域環境、景観及び地域生態系との調和を前提として整理しようとす</w:t>
      </w:r>
      <w:r>
        <w:rPr>
          <w:lang w:eastAsia="ja-JP"/>
        </w:rPr>
        <w:lastRenderedPageBreak/>
        <w:t>るものである。その性格は、単純な大型開発計画ではなく、環境保全と基盤整備の両立を図るための段階的空間実装構想にある。</w:t>
      </w:r>
    </w:p>
    <w:p w14:paraId="7A0D00C7" w14:textId="77777777" w:rsidR="002E54E7" w:rsidRDefault="00000000">
      <w:pPr>
        <w:pStyle w:val="1"/>
        <w:spacing w:after="60" w:line="360" w:lineRule="exact"/>
        <w:rPr>
          <w:lang w:eastAsia="ja-JP"/>
        </w:rPr>
      </w:pPr>
      <w:r>
        <w:rPr>
          <w:lang w:eastAsia="ja-JP"/>
        </w:rPr>
        <w:t>2</w:t>
      </w:r>
      <w:r>
        <w:rPr>
          <w:lang w:eastAsia="ja-JP"/>
        </w:rPr>
        <w:t>．青森・陸奥湾・八甲田の位置づけ</w:t>
      </w:r>
    </w:p>
    <w:p w14:paraId="5FE3CB3A" w14:textId="77777777" w:rsidR="002E54E7" w:rsidRDefault="00000000">
      <w:pPr>
        <w:spacing w:after="60" w:line="360" w:lineRule="exact"/>
        <w:rPr>
          <w:lang w:eastAsia="ja-JP"/>
        </w:rPr>
      </w:pPr>
      <w:r>
        <w:rPr>
          <w:lang w:eastAsia="ja-JP"/>
        </w:rPr>
        <w:t>本構想において青森、陸奥湾及び八甲田周辺を対象とする理由は、内湾としての陸奥湾の特性、八甲田周辺の自然環境及び地熱資源、並びに海域及び陸域双方の環境条件が重なって存在しているためである。このため、当該地域は単なる整備余地としてではなく、既存の自然環境条件、海域利用及び景観条件を踏まえた調整対象地域として整理することが適当である。</w:t>
      </w:r>
    </w:p>
    <w:p w14:paraId="40F85081" w14:textId="77777777" w:rsidR="002E54E7" w:rsidRDefault="00000000">
      <w:pPr>
        <w:pStyle w:val="1"/>
        <w:spacing w:after="60" w:line="360" w:lineRule="exact"/>
        <w:rPr>
          <w:lang w:eastAsia="ja-JP"/>
        </w:rPr>
      </w:pPr>
      <w:r>
        <w:rPr>
          <w:lang w:eastAsia="ja-JP"/>
        </w:rPr>
        <w:t>3</w:t>
      </w:r>
      <w:r>
        <w:rPr>
          <w:lang w:eastAsia="ja-JP"/>
        </w:rPr>
        <w:t>．海域環境との調和</w:t>
      </w:r>
    </w:p>
    <w:p w14:paraId="113535F0" w14:textId="77777777" w:rsidR="002E54E7" w:rsidRDefault="00000000">
      <w:pPr>
        <w:spacing w:after="60" w:line="360" w:lineRule="exact"/>
        <w:rPr>
          <w:lang w:eastAsia="ja-JP"/>
        </w:rPr>
      </w:pPr>
      <w:r>
        <w:rPr>
          <w:lang w:eastAsia="ja-JP"/>
        </w:rPr>
        <w:t>本構想の基本認識は、メガフロート整備その他の基盤整備を進めるに当たり、海域環境との調和を前提に置く点にある。すなわち、海流、水質、生態系その他の海域環境への影響を個別に把握し、影響最小化を原則として配置、規模及び利用形態を調整する必要がある。このため、本構想は、海域を新たに利用する計画であると同時に、海域環境との調和を前提とした段階的整備構想として整理することが適当である。</w:t>
      </w:r>
    </w:p>
    <w:p w14:paraId="41630032" w14:textId="77777777" w:rsidR="002E54E7" w:rsidRDefault="00000000">
      <w:pPr>
        <w:pStyle w:val="1"/>
        <w:spacing w:after="60" w:line="360" w:lineRule="exact"/>
        <w:rPr>
          <w:lang w:eastAsia="ja-JP"/>
        </w:rPr>
      </w:pPr>
      <w:r>
        <w:rPr>
          <w:lang w:eastAsia="ja-JP"/>
        </w:rPr>
        <w:t>4</w:t>
      </w:r>
      <w:r>
        <w:rPr>
          <w:lang w:eastAsia="ja-JP"/>
        </w:rPr>
        <w:t>．地熱開発・再生可能エネルギー政策との整合</w:t>
      </w:r>
    </w:p>
    <w:p w14:paraId="0E0B46FF" w14:textId="77777777" w:rsidR="002E54E7" w:rsidRDefault="00000000">
      <w:pPr>
        <w:spacing w:after="60" w:line="360" w:lineRule="exact"/>
        <w:rPr>
          <w:lang w:eastAsia="ja-JP"/>
        </w:rPr>
      </w:pPr>
      <w:r>
        <w:rPr>
          <w:lang w:eastAsia="ja-JP"/>
        </w:rPr>
        <w:t>本構想は、地熱開発及び再生可能エネルギー政策との整合を重視する。八甲田周辺における地熱資源の活用並びに余剰電力等を活用した循環型インフラ整備は、エネルギー基盤整備と環境配慮を接続する可能性を有する一方、自然環境への影響把握及び景観との調和を前提として進める必要がある。したがって、本構想におけるエネルギー基盤整備は、再生可能エネルギー導入推進のみを目的とするものではなく、環境保全と両立し得る範囲での持続可能な実装として位置づけることが適当である。</w:t>
      </w:r>
    </w:p>
    <w:p w14:paraId="61AF6D64" w14:textId="77777777" w:rsidR="002E54E7" w:rsidRDefault="00000000">
      <w:pPr>
        <w:pStyle w:val="1"/>
        <w:spacing w:after="60" w:line="360" w:lineRule="exact"/>
        <w:rPr>
          <w:lang w:eastAsia="ja-JP"/>
        </w:rPr>
      </w:pPr>
      <w:r>
        <w:rPr>
          <w:lang w:eastAsia="ja-JP"/>
        </w:rPr>
        <w:t>5</w:t>
      </w:r>
      <w:r>
        <w:rPr>
          <w:lang w:eastAsia="ja-JP"/>
        </w:rPr>
        <w:t>．景観・自然環境との共存</w:t>
      </w:r>
    </w:p>
    <w:p w14:paraId="22047D7B" w14:textId="77777777" w:rsidR="002E54E7" w:rsidRDefault="00000000">
      <w:pPr>
        <w:spacing w:after="60" w:line="360" w:lineRule="exact"/>
        <w:rPr>
          <w:lang w:eastAsia="ja-JP"/>
        </w:rPr>
      </w:pPr>
      <w:r>
        <w:rPr>
          <w:lang w:eastAsia="ja-JP"/>
        </w:rPr>
        <w:t>本構想は、景観及び自然環境との調和を重視する。メガフロート、大規模インフラ及び関連施設の整備は、単なる機能性のみならず、周辺景観、自然公園、地域環境及び住民受容性にも影響を与え得ることから、視覚的影響を含む景観調和設計を行う必要がある。この点において、本構想は、機能最優先の整備ではなく、景観及び自然との共存を前提とした整備構想として整理されるべきである。</w:t>
      </w:r>
    </w:p>
    <w:p w14:paraId="214E9D98" w14:textId="77777777" w:rsidR="002E54E7" w:rsidRDefault="00000000">
      <w:pPr>
        <w:pStyle w:val="1"/>
        <w:spacing w:after="60" w:line="360" w:lineRule="exact"/>
        <w:rPr>
          <w:lang w:eastAsia="ja-JP"/>
        </w:rPr>
      </w:pPr>
      <w:r>
        <w:rPr>
          <w:lang w:eastAsia="ja-JP"/>
        </w:rPr>
        <w:lastRenderedPageBreak/>
        <w:t>6</w:t>
      </w:r>
      <w:r>
        <w:rPr>
          <w:lang w:eastAsia="ja-JP"/>
        </w:rPr>
        <w:t>．段階的環境影響評価と他省庁接続</w:t>
      </w:r>
    </w:p>
    <w:p w14:paraId="600095C0" w14:textId="77777777" w:rsidR="002E54E7" w:rsidRDefault="00000000">
      <w:pPr>
        <w:spacing w:after="60" w:line="360" w:lineRule="exact"/>
        <w:rPr>
          <w:lang w:eastAsia="ja-JP"/>
        </w:rPr>
      </w:pPr>
      <w:r>
        <w:rPr>
          <w:lang w:eastAsia="ja-JP"/>
        </w:rPr>
        <w:t>本構想は、環境影響評価を一括処理的に捉えるものではなく、段階的実装に応じて事前把握、影響確認及び見直しを積み上げることを前提としている。すなわち、一括整備ではなく段階整備を採ることにより、実装段階ごとに環境影響を確認し、必要に応じて規模、配置又は運用を見直す枠組みを設けることが重要である。</w:t>
      </w:r>
    </w:p>
    <w:p w14:paraId="117DD62C" w14:textId="77777777" w:rsidR="002E54E7" w:rsidRDefault="00000000">
      <w:pPr>
        <w:spacing w:after="60" w:line="360" w:lineRule="exact"/>
        <w:rPr>
          <w:lang w:eastAsia="ja-JP"/>
        </w:rPr>
      </w:pPr>
      <w:r>
        <w:rPr>
          <w:lang w:eastAsia="ja-JP"/>
        </w:rPr>
        <w:t>さらに、本構想は、環境行政のみで完結するものではなく、国土交通省による港湾及び物流基盤整備、農林水産省による海域利用及び漁場との共存設計、経済産業省によるエネルギー基盤整備等と接続して進める必要がある。環境省向けには、これら他省庁施策を、環境影響評価、自然環境との調和及び持続可能性確保の観点から統合的に整理する役割が重要となる。</w:t>
      </w:r>
    </w:p>
    <w:p w14:paraId="238E0D49" w14:textId="77777777" w:rsidR="002E54E7" w:rsidRDefault="00000000">
      <w:pPr>
        <w:pStyle w:val="1"/>
        <w:spacing w:after="60" w:line="360" w:lineRule="exact"/>
        <w:rPr>
          <w:lang w:eastAsia="ja-JP"/>
        </w:rPr>
      </w:pPr>
      <w:r>
        <w:rPr>
          <w:lang w:eastAsia="ja-JP"/>
        </w:rPr>
        <w:t>7</w:t>
      </w:r>
      <w:r>
        <w:rPr>
          <w:lang w:eastAsia="ja-JP"/>
        </w:rPr>
        <w:t>．結論</w:t>
      </w:r>
    </w:p>
    <w:p w14:paraId="1BA05EF2" w14:textId="77777777" w:rsidR="002E54E7" w:rsidRDefault="00000000">
      <w:pPr>
        <w:spacing w:after="60" w:line="360" w:lineRule="exact"/>
        <w:rPr>
          <w:lang w:eastAsia="ja-JP"/>
        </w:rPr>
      </w:pPr>
      <w:r>
        <w:rPr>
          <w:lang w:eastAsia="ja-JP"/>
        </w:rPr>
        <w:t>以上のとおり、本構想は、基盤整備を自然環境、海域環境、景観及び再生可能エネルギー政策との整合の下で進めようとするものであり、環境保全を外部条件としてではなく、構想内部の前提条件として位置づけるものである。環境省向け説明においては、海域環境との調和、地熱開発及び再生可能エネルギー政策との整合、景観及び自然環境との共存、段階的環境影響評価並びに他省庁整備との環境面での接続整理を中心に整理することが適当である。</w:t>
      </w:r>
    </w:p>
    <w:p w14:paraId="726730F1" w14:textId="77777777" w:rsidR="002E54E7" w:rsidRDefault="00000000">
      <w:pPr>
        <w:spacing w:before="120" w:line="240" w:lineRule="exact"/>
        <w:rPr>
          <w:lang w:eastAsia="ja-JP"/>
        </w:rPr>
      </w:pPr>
      <w:r>
        <w:rPr>
          <w:sz w:val="17"/>
          <w:lang w:eastAsia="ja-JP"/>
        </w:rPr>
        <w:t>注）本資料は説明用整理案であり、記載内容については、今後、環境影響評価、自然環境保全、海域利用及び既存施策との整合性を踏まえてさらに精査する前提である。</w:t>
      </w:r>
    </w:p>
    <w:sectPr w:rsidR="002E54E7"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513307099">
    <w:abstractNumId w:val="8"/>
  </w:num>
  <w:num w:numId="2" w16cid:durableId="1890458608">
    <w:abstractNumId w:val="6"/>
  </w:num>
  <w:num w:numId="3" w16cid:durableId="625162361">
    <w:abstractNumId w:val="5"/>
  </w:num>
  <w:num w:numId="4" w16cid:durableId="1590189480">
    <w:abstractNumId w:val="4"/>
  </w:num>
  <w:num w:numId="5" w16cid:durableId="1770269726">
    <w:abstractNumId w:val="7"/>
  </w:num>
  <w:num w:numId="6" w16cid:durableId="735082740">
    <w:abstractNumId w:val="3"/>
  </w:num>
  <w:num w:numId="7" w16cid:durableId="2103257037">
    <w:abstractNumId w:val="2"/>
  </w:num>
  <w:num w:numId="8" w16cid:durableId="295719522">
    <w:abstractNumId w:val="1"/>
  </w:num>
  <w:num w:numId="9" w16cid:durableId="1429153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E54E7"/>
    <w:rsid w:val="00326F90"/>
    <w:rsid w:val="00506C7A"/>
    <w:rsid w:val="00AA1D8D"/>
    <w:rsid w:val="00B47730"/>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721B6668"/>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506C7A"/>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2026-04-13T10:57:00Z</dcterms:modified>
  <cp:category/>
</cp:coreProperties>
</file>