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ADD213" w14:textId="77777777" w:rsidR="00682D30" w:rsidRDefault="00682D30" w:rsidP="00682D30">
      <w:pPr>
        <w:pStyle w:val="SmallHeader"/>
        <w:jc w:val="center"/>
        <w:rPr>
          <w:lang w:eastAsia="ja-JP"/>
        </w:rPr>
      </w:pPr>
    </w:p>
    <w:p w14:paraId="05610EF4" w14:textId="77777777" w:rsidR="00682D30" w:rsidRDefault="00682D30" w:rsidP="00682D30">
      <w:pPr>
        <w:pStyle w:val="SmallHeader"/>
        <w:rPr>
          <w:lang w:eastAsia="ja-JP"/>
        </w:rPr>
      </w:pPr>
    </w:p>
    <w:p w14:paraId="7787576A" w14:textId="77777777" w:rsidR="00682D30" w:rsidRDefault="00682D30" w:rsidP="00682D30">
      <w:pPr>
        <w:pStyle w:val="SmallHeader"/>
        <w:rPr>
          <w:lang w:eastAsia="ja-JP"/>
        </w:rPr>
      </w:pPr>
    </w:p>
    <w:p w14:paraId="1E31873A" w14:textId="77777777" w:rsidR="00682D30" w:rsidRDefault="00682D30" w:rsidP="00682D30">
      <w:pPr>
        <w:pStyle w:val="SmallHeader"/>
        <w:rPr>
          <w:lang w:eastAsia="ja-JP"/>
        </w:rPr>
      </w:pPr>
    </w:p>
    <w:p w14:paraId="2FF29E15" w14:textId="77777777" w:rsidR="00682D30" w:rsidRPr="00682D30" w:rsidRDefault="00682D30" w:rsidP="00682D30">
      <w:pPr>
        <w:pStyle w:val="SmallHeader"/>
        <w:jc w:val="center"/>
        <w:rPr>
          <w:sz w:val="36"/>
          <w:szCs w:val="48"/>
          <w:lang w:eastAsia="ja-JP"/>
        </w:rPr>
      </w:pPr>
      <w:r w:rsidRPr="00682D30">
        <w:rPr>
          <w:rFonts w:hint="eastAsia"/>
          <w:sz w:val="36"/>
          <w:szCs w:val="48"/>
          <w:lang w:eastAsia="ja-JP"/>
        </w:rPr>
        <w:t>北日本戦略再設計構想</w:t>
      </w:r>
    </w:p>
    <w:p w14:paraId="09A76193" w14:textId="77777777" w:rsidR="00682D30" w:rsidRPr="00682D30" w:rsidRDefault="00682D30" w:rsidP="00682D30">
      <w:pPr>
        <w:pStyle w:val="SmallHeader"/>
        <w:jc w:val="center"/>
        <w:rPr>
          <w:sz w:val="36"/>
          <w:szCs w:val="48"/>
          <w:lang w:eastAsia="ja-JP"/>
        </w:rPr>
      </w:pPr>
      <w:r w:rsidRPr="00682D30">
        <w:rPr>
          <w:rFonts w:hint="eastAsia"/>
          <w:sz w:val="36"/>
          <w:szCs w:val="48"/>
          <w:lang w:eastAsia="ja-JP"/>
        </w:rPr>
        <w:t>【文部科学省向け説明資料】</w:t>
      </w:r>
    </w:p>
    <w:p w14:paraId="3BC57DD7" w14:textId="755704FD" w:rsidR="00682D30" w:rsidRPr="007C7587" w:rsidRDefault="00682D30" w:rsidP="00682D30">
      <w:pPr>
        <w:pStyle w:val="SmallHeader"/>
        <w:jc w:val="center"/>
        <w:rPr>
          <w:sz w:val="36"/>
          <w:szCs w:val="48"/>
          <w:lang w:eastAsia="ja-JP"/>
        </w:rPr>
      </w:pPr>
      <w:r w:rsidRPr="00682D30">
        <w:rPr>
          <w:rFonts w:hint="eastAsia"/>
          <w:sz w:val="36"/>
          <w:szCs w:val="48"/>
          <w:lang w:eastAsia="ja-JP"/>
        </w:rPr>
        <w:t>大学・高専・研究開発・地方定着型人材循環に関する説明資料</w:t>
      </w:r>
    </w:p>
    <w:p w14:paraId="2279624C" w14:textId="77777777" w:rsidR="00682D30" w:rsidRDefault="00682D30" w:rsidP="00682D30">
      <w:pPr>
        <w:pStyle w:val="SmallHeader"/>
        <w:jc w:val="center"/>
        <w:rPr>
          <w:lang w:eastAsia="ja-JP"/>
        </w:rPr>
      </w:pPr>
    </w:p>
    <w:p w14:paraId="25BCB223" w14:textId="77777777" w:rsidR="00682D30" w:rsidRDefault="00682D30" w:rsidP="00682D30">
      <w:pPr>
        <w:pStyle w:val="SmallHeader"/>
        <w:jc w:val="center"/>
        <w:rPr>
          <w:lang w:eastAsia="ja-JP"/>
        </w:rPr>
      </w:pPr>
    </w:p>
    <w:p w14:paraId="530AA8DA" w14:textId="77777777" w:rsidR="00682D30" w:rsidRDefault="00682D30" w:rsidP="00682D30">
      <w:pPr>
        <w:pStyle w:val="SmallHeader"/>
        <w:jc w:val="center"/>
        <w:rPr>
          <w:lang w:eastAsia="ja-JP"/>
        </w:rPr>
      </w:pPr>
    </w:p>
    <w:p w14:paraId="5AFC9F9D" w14:textId="77777777" w:rsidR="00682D30" w:rsidRDefault="00682D30" w:rsidP="00682D30">
      <w:pPr>
        <w:pStyle w:val="SmallHeader"/>
        <w:jc w:val="center"/>
        <w:rPr>
          <w:rFonts w:hint="eastAsia"/>
          <w:lang w:eastAsia="ja-JP"/>
        </w:rPr>
      </w:pPr>
    </w:p>
    <w:p w14:paraId="288443DF" w14:textId="77777777" w:rsidR="00682D30" w:rsidRPr="007C7587" w:rsidRDefault="00682D30" w:rsidP="00682D30">
      <w:pPr>
        <w:pStyle w:val="SmallHeader"/>
        <w:jc w:val="center"/>
        <w:rPr>
          <w:sz w:val="22"/>
          <w:szCs w:val="32"/>
          <w:lang w:eastAsia="ja-JP"/>
        </w:rPr>
      </w:pPr>
      <w:r w:rsidRPr="007C7587">
        <w:rPr>
          <w:rFonts w:hint="eastAsia"/>
          <w:sz w:val="22"/>
          <w:szCs w:val="32"/>
          <w:lang w:eastAsia="ja-JP"/>
        </w:rPr>
        <w:t>提出者：新岡</w:t>
      </w:r>
      <w:r w:rsidRPr="007C7587">
        <w:rPr>
          <w:sz w:val="22"/>
          <w:szCs w:val="32"/>
          <w:lang w:eastAsia="ja-JP"/>
        </w:rPr>
        <w:t xml:space="preserve"> 昌心</w:t>
      </w:r>
    </w:p>
    <w:p w14:paraId="752C82D2" w14:textId="77777777" w:rsidR="00682D30" w:rsidRPr="007C7587" w:rsidRDefault="00682D30" w:rsidP="00682D30">
      <w:pPr>
        <w:pStyle w:val="SmallHeader"/>
        <w:jc w:val="center"/>
        <w:rPr>
          <w:sz w:val="22"/>
          <w:szCs w:val="32"/>
          <w:lang w:eastAsia="ja-JP"/>
        </w:rPr>
      </w:pPr>
      <w:r w:rsidRPr="007C7587">
        <w:rPr>
          <w:rFonts w:hint="eastAsia"/>
          <w:sz w:val="22"/>
          <w:szCs w:val="32"/>
          <w:lang w:eastAsia="ja-JP"/>
        </w:rPr>
        <w:t>提出日：令和○年○月○日</w:t>
      </w:r>
    </w:p>
    <w:p w14:paraId="7B2DECD5" w14:textId="77777777" w:rsidR="00682D30" w:rsidRDefault="00682D30">
      <w:pPr>
        <w:spacing w:after="60" w:line="360" w:lineRule="exact"/>
        <w:jc w:val="right"/>
        <w:rPr>
          <w:sz w:val="18"/>
          <w:lang w:eastAsia="ja-JP"/>
        </w:rPr>
      </w:pPr>
    </w:p>
    <w:p w14:paraId="641FAC79" w14:textId="77777777" w:rsidR="00682D30" w:rsidRDefault="00682D30">
      <w:pPr>
        <w:spacing w:after="60" w:line="360" w:lineRule="exact"/>
        <w:jc w:val="right"/>
        <w:rPr>
          <w:sz w:val="18"/>
          <w:lang w:eastAsia="ja-JP"/>
        </w:rPr>
      </w:pPr>
    </w:p>
    <w:p w14:paraId="64E9D7DA" w14:textId="77777777" w:rsidR="00682D30" w:rsidRDefault="00682D30">
      <w:pPr>
        <w:spacing w:after="60" w:line="360" w:lineRule="exact"/>
        <w:jc w:val="right"/>
        <w:rPr>
          <w:sz w:val="18"/>
          <w:lang w:eastAsia="ja-JP"/>
        </w:rPr>
      </w:pPr>
    </w:p>
    <w:p w14:paraId="086D3F9F" w14:textId="77777777" w:rsidR="00682D30" w:rsidRDefault="00682D30">
      <w:pPr>
        <w:spacing w:after="60" w:line="360" w:lineRule="exact"/>
        <w:jc w:val="right"/>
        <w:rPr>
          <w:sz w:val="18"/>
          <w:lang w:eastAsia="ja-JP"/>
        </w:rPr>
      </w:pPr>
    </w:p>
    <w:p w14:paraId="29B43793" w14:textId="77777777" w:rsidR="00682D30" w:rsidRDefault="00682D30">
      <w:pPr>
        <w:spacing w:after="60" w:line="360" w:lineRule="exact"/>
        <w:jc w:val="right"/>
        <w:rPr>
          <w:sz w:val="18"/>
          <w:lang w:eastAsia="ja-JP"/>
        </w:rPr>
      </w:pPr>
    </w:p>
    <w:p w14:paraId="76F49732" w14:textId="77777777" w:rsidR="00682D30" w:rsidRDefault="00682D30">
      <w:pPr>
        <w:spacing w:after="60" w:line="360" w:lineRule="exact"/>
        <w:jc w:val="right"/>
        <w:rPr>
          <w:sz w:val="18"/>
          <w:lang w:eastAsia="ja-JP"/>
        </w:rPr>
      </w:pPr>
    </w:p>
    <w:p w14:paraId="1B9BB84C" w14:textId="77777777" w:rsidR="00682D30" w:rsidRPr="00682D30" w:rsidRDefault="00682D30">
      <w:pPr>
        <w:spacing w:after="60" w:line="360" w:lineRule="exact"/>
        <w:jc w:val="right"/>
        <w:rPr>
          <w:rFonts w:hint="eastAsia"/>
          <w:sz w:val="18"/>
          <w:lang w:eastAsia="ja-JP"/>
        </w:rPr>
      </w:pPr>
    </w:p>
    <w:p w14:paraId="54F4AFA7" w14:textId="77777777" w:rsidR="00682D30" w:rsidRDefault="00682D30">
      <w:pPr>
        <w:spacing w:after="60" w:line="360" w:lineRule="exact"/>
        <w:jc w:val="right"/>
        <w:rPr>
          <w:sz w:val="18"/>
          <w:lang w:eastAsia="ja-JP"/>
        </w:rPr>
      </w:pPr>
    </w:p>
    <w:p w14:paraId="05AEC325" w14:textId="77777777" w:rsidR="00682D30" w:rsidRDefault="00682D30">
      <w:pPr>
        <w:spacing w:after="60" w:line="360" w:lineRule="exact"/>
        <w:jc w:val="right"/>
        <w:rPr>
          <w:sz w:val="18"/>
          <w:lang w:eastAsia="ja-JP"/>
        </w:rPr>
      </w:pPr>
    </w:p>
    <w:p w14:paraId="22042996" w14:textId="77777777" w:rsidR="00682D30" w:rsidRDefault="00682D30">
      <w:pPr>
        <w:spacing w:after="60" w:line="360" w:lineRule="exact"/>
        <w:jc w:val="right"/>
        <w:rPr>
          <w:sz w:val="18"/>
          <w:lang w:eastAsia="ja-JP"/>
        </w:rPr>
      </w:pPr>
    </w:p>
    <w:p w14:paraId="0E55E416" w14:textId="77777777" w:rsidR="00682D30" w:rsidRDefault="00682D30">
      <w:pPr>
        <w:spacing w:after="60" w:line="360" w:lineRule="exact"/>
        <w:jc w:val="right"/>
        <w:rPr>
          <w:sz w:val="18"/>
          <w:lang w:eastAsia="ja-JP"/>
        </w:rPr>
      </w:pPr>
    </w:p>
    <w:p w14:paraId="19F36D15" w14:textId="77777777" w:rsidR="00682D30" w:rsidRDefault="00682D30">
      <w:pPr>
        <w:spacing w:after="60" w:line="360" w:lineRule="exact"/>
        <w:jc w:val="right"/>
        <w:rPr>
          <w:sz w:val="18"/>
          <w:lang w:eastAsia="ja-JP"/>
        </w:rPr>
      </w:pPr>
    </w:p>
    <w:p w14:paraId="37290A62" w14:textId="77777777" w:rsidR="00682D30" w:rsidRDefault="00682D30">
      <w:pPr>
        <w:spacing w:after="60" w:line="360" w:lineRule="exact"/>
        <w:jc w:val="right"/>
        <w:rPr>
          <w:sz w:val="18"/>
          <w:lang w:eastAsia="ja-JP"/>
        </w:rPr>
      </w:pPr>
    </w:p>
    <w:p w14:paraId="640A7727" w14:textId="2AAC82F7" w:rsidR="000D446C" w:rsidRDefault="00000000">
      <w:pPr>
        <w:spacing w:after="60" w:line="360" w:lineRule="exact"/>
        <w:jc w:val="right"/>
        <w:rPr>
          <w:lang w:eastAsia="ja-JP"/>
        </w:rPr>
      </w:pPr>
      <w:r>
        <w:rPr>
          <w:sz w:val="18"/>
          <w:lang w:eastAsia="ja-JP"/>
        </w:rPr>
        <w:lastRenderedPageBreak/>
        <w:t>文部科学省向け／説明資料（案）</w:t>
      </w:r>
    </w:p>
    <w:p w14:paraId="0089FBEC" w14:textId="77777777" w:rsidR="000D446C" w:rsidRDefault="00000000">
      <w:pPr>
        <w:pStyle w:val="aa"/>
        <w:spacing w:after="120" w:line="360" w:lineRule="exact"/>
        <w:jc w:val="center"/>
        <w:rPr>
          <w:lang w:eastAsia="ja-JP"/>
        </w:rPr>
      </w:pPr>
      <w:r>
        <w:rPr>
          <w:lang w:eastAsia="ja-JP"/>
        </w:rPr>
        <w:t>北日本戦略再設計構想</w:t>
      </w:r>
    </w:p>
    <w:p w14:paraId="48923DAA" w14:textId="77777777" w:rsidR="000D446C" w:rsidRDefault="00000000">
      <w:pPr>
        <w:pStyle w:val="ac"/>
        <w:spacing w:after="60" w:line="360" w:lineRule="exact"/>
        <w:jc w:val="center"/>
        <w:rPr>
          <w:lang w:eastAsia="ja-JP"/>
        </w:rPr>
      </w:pPr>
      <w:r>
        <w:rPr>
          <w:lang w:eastAsia="ja-JP"/>
        </w:rPr>
        <w:t>人材育成・研究開発・地方定着型人材循環に関する説明資料</w:t>
      </w:r>
    </w:p>
    <w:p w14:paraId="2D546DB0" w14:textId="77777777" w:rsidR="000D446C" w:rsidRDefault="00000000">
      <w:pPr>
        <w:pStyle w:val="ac"/>
        <w:spacing w:after="240" w:line="360" w:lineRule="exact"/>
        <w:jc w:val="center"/>
        <w:rPr>
          <w:lang w:eastAsia="ja-JP"/>
        </w:rPr>
      </w:pPr>
      <w:r>
        <w:rPr>
          <w:lang w:eastAsia="ja-JP"/>
        </w:rPr>
        <w:t>（文部科学省向け）</w:t>
      </w:r>
    </w:p>
    <w:p w14:paraId="1B00D075" w14:textId="77777777" w:rsidR="000D446C" w:rsidRDefault="00000000">
      <w:pPr>
        <w:pStyle w:val="21"/>
        <w:spacing w:after="60" w:line="360" w:lineRule="exact"/>
        <w:rPr>
          <w:lang w:eastAsia="ja-JP"/>
        </w:rPr>
      </w:pPr>
      <w:r>
        <w:rPr>
          <w:lang w:eastAsia="ja-JP"/>
        </w:rPr>
        <w:t>作成目的</w:t>
      </w:r>
    </w:p>
    <w:p w14:paraId="0949D1FA" w14:textId="77777777" w:rsidR="000D446C" w:rsidRDefault="00000000">
      <w:pPr>
        <w:spacing w:after="60" w:line="360" w:lineRule="exact"/>
        <w:rPr>
          <w:lang w:eastAsia="ja-JP"/>
        </w:rPr>
      </w:pPr>
      <w:r>
        <w:rPr>
          <w:lang w:eastAsia="ja-JP"/>
        </w:rPr>
        <w:t>本資料は、北日本戦略再設計構想について、人材育成、研究開発、大学・高専・専門学校との接続及び地方定着型人材循環の観点から整理し、文部科学省向け説明用資料として取りまとめるものである。</w:t>
      </w:r>
    </w:p>
    <w:p w14:paraId="70092382" w14:textId="77777777" w:rsidR="000D446C" w:rsidRDefault="00000000">
      <w:pPr>
        <w:pStyle w:val="21"/>
        <w:spacing w:after="60" w:line="360" w:lineRule="exact"/>
        <w:rPr>
          <w:lang w:eastAsia="ja-JP"/>
        </w:rPr>
      </w:pPr>
      <w:r>
        <w:rPr>
          <w:lang w:eastAsia="ja-JP"/>
        </w:rPr>
        <w:t>位置づけ</w:t>
      </w:r>
    </w:p>
    <w:p w14:paraId="29A41B34" w14:textId="77777777" w:rsidR="000D446C" w:rsidRDefault="00000000">
      <w:pPr>
        <w:spacing w:after="60" w:line="360" w:lineRule="exact"/>
        <w:rPr>
          <w:lang w:eastAsia="ja-JP"/>
        </w:rPr>
      </w:pPr>
      <w:r>
        <w:rPr>
          <w:lang w:eastAsia="ja-JP"/>
        </w:rPr>
        <w:t>本資料は総合版から文部科学省向け論点を抽出した説明資料であり、記載内容については、今後、高等教育政策、職業教育、研究開発政策及び既存施策との整合性を踏まえてさらに精査する前提で整理したものである。</w:t>
      </w:r>
    </w:p>
    <w:p w14:paraId="17B45FCD" w14:textId="77777777" w:rsidR="000D446C" w:rsidRDefault="00000000">
      <w:pPr>
        <w:pStyle w:val="1"/>
        <w:spacing w:after="60" w:line="360" w:lineRule="exact"/>
        <w:rPr>
          <w:lang w:eastAsia="ja-JP"/>
        </w:rPr>
      </w:pPr>
      <w:r>
        <w:rPr>
          <w:lang w:eastAsia="ja-JP"/>
        </w:rPr>
        <w:t>0</w:t>
      </w:r>
      <w:r>
        <w:rPr>
          <w:lang w:eastAsia="ja-JP"/>
        </w:rPr>
        <w:t>．要旨</w:t>
      </w:r>
    </w:p>
    <w:p w14:paraId="7DCC0101" w14:textId="77777777" w:rsidR="000D446C" w:rsidRDefault="00000000">
      <w:pPr>
        <w:pStyle w:val="21"/>
        <w:spacing w:after="60" w:line="360" w:lineRule="exact"/>
        <w:rPr>
          <w:lang w:eastAsia="ja-JP"/>
        </w:rPr>
      </w:pPr>
      <w:r>
        <w:rPr>
          <w:lang w:eastAsia="ja-JP"/>
        </w:rPr>
        <w:t>0-1</w:t>
      </w:r>
      <w:r>
        <w:rPr>
          <w:lang w:eastAsia="ja-JP"/>
        </w:rPr>
        <w:t>．一行要旨</w:t>
      </w:r>
    </w:p>
    <w:p w14:paraId="164F72C9" w14:textId="77777777" w:rsidR="000D446C" w:rsidRDefault="00000000">
      <w:pPr>
        <w:spacing w:after="60" w:line="360" w:lineRule="exact"/>
        <w:rPr>
          <w:lang w:eastAsia="ja-JP"/>
        </w:rPr>
      </w:pPr>
      <w:r>
        <w:rPr>
          <w:lang w:eastAsia="ja-JP"/>
        </w:rPr>
        <w:t>本構想は、北日本において教育、研究、実装及び就業を接続し、地方定着型の人材循環を形成しようとする構想である。</w:t>
      </w:r>
    </w:p>
    <w:p w14:paraId="00F34065" w14:textId="77777777" w:rsidR="000D446C" w:rsidRDefault="00000000">
      <w:pPr>
        <w:pStyle w:val="21"/>
        <w:spacing w:after="60" w:line="360" w:lineRule="exact"/>
        <w:rPr>
          <w:lang w:eastAsia="ja-JP"/>
        </w:rPr>
      </w:pPr>
      <w:r>
        <w:rPr>
          <w:lang w:eastAsia="ja-JP"/>
        </w:rPr>
        <w:t>0-2</w:t>
      </w:r>
      <w:r>
        <w:rPr>
          <w:lang w:eastAsia="ja-JP"/>
        </w:rPr>
        <w:t>．要点</w:t>
      </w:r>
    </w:p>
    <w:p w14:paraId="0EFA1F16" w14:textId="77777777" w:rsidR="000D446C" w:rsidRDefault="00000000">
      <w:pPr>
        <w:spacing w:after="60" w:line="360" w:lineRule="exact"/>
        <w:ind w:left="340" w:hanging="170"/>
        <w:rPr>
          <w:lang w:eastAsia="ja-JP"/>
        </w:rPr>
      </w:pPr>
      <w:r>
        <w:rPr>
          <w:lang w:eastAsia="ja-JP"/>
        </w:rPr>
        <w:t>① 基本認識</w:t>
      </w:r>
      <w:r>
        <w:rPr>
          <w:lang w:eastAsia="ja-JP"/>
        </w:rPr>
        <w:br/>
        <w:t>本構想は、首都圏に偏在する教育、研究、就職及び産業実装の構造に対応し、AI、計算基盤、半導体後工程、物流DXその他の基盤産業を支える人材を、地域で育成し、研究し、地域で就業し得る教育研究基盤として再設計しようとするものである。</w:t>
      </w:r>
    </w:p>
    <w:p w14:paraId="2C8751E8" w14:textId="77777777" w:rsidR="000D446C" w:rsidRDefault="00000000">
      <w:pPr>
        <w:spacing w:after="60" w:line="360" w:lineRule="exact"/>
        <w:ind w:left="340" w:hanging="170"/>
        <w:rPr>
          <w:lang w:eastAsia="ja-JP"/>
        </w:rPr>
      </w:pPr>
      <w:r>
        <w:rPr>
          <w:lang w:eastAsia="ja-JP"/>
        </w:rPr>
        <w:t>② 教育研究の接続</w:t>
      </w:r>
      <w:r>
        <w:rPr>
          <w:lang w:eastAsia="ja-JP"/>
        </w:rPr>
        <w:br/>
        <w:t>大学、高専、専門学校及び研究機関による教育研究活動を、地域に実装される計算基盤、データセンター、半導体後工程、関連材料、物流及び地域DXと直接接続することにより、教育、研究、実装及び就業を同一地域内で循環させる。</w:t>
      </w:r>
    </w:p>
    <w:p w14:paraId="5E5DF820" w14:textId="77777777" w:rsidR="000D446C" w:rsidRDefault="00000000">
      <w:pPr>
        <w:spacing w:after="60" w:line="360" w:lineRule="exact"/>
        <w:ind w:left="340" w:hanging="170"/>
        <w:rPr>
          <w:lang w:eastAsia="ja-JP"/>
        </w:rPr>
      </w:pPr>
      <w:r>
        <w:rPr>
          <w:lang w:eastAsia="ja-JP"/>
        </w:rPr>
        <w:t>③ 政策的意義</w:t>
      </w:r>
      <w:r>
        <w:rPr>
          <w:lang w:eastAsia="ja-JP"/>
        </w:rPr>
        <w:br/>
        <w:t>大学・高専・専門学校との接続、AI・計算基盤・半導体関連人材の育成、研究開発基盤及び産学官連携並びに地方圏における教育・研究・就業の循環形成を通じて、地方定着型人材循環を構築する。</w:t>
      </w:r>
    </w:p>
    <w:p w14:paraId="5604C6B7" w14:textId="77777777" w:rsidR="000D446C" w:rsidRDefault="00000000">
      <w:pPr>
        <w:pStyle w:val="1"/>
        <w:spacing w:after="60" w:line="360" w:lineRule="exact"/>
        <w:rPr>
          <w:lang w:eastAsia="ja-JP"/>
        </w:rPr>
      </w:pPr>
      <w:r>
        <w:rPr>
          <w:lang w:eastAsia="ja-JP"/>
        </w:rPr>
        <w:lastRenderedPageBreak/>
        <w:t>1</w:t>
      </w:r>
      <w:r>
        <w:rPr>
          <w:lang w:eastAsia="ja-JP"/>
        </w:rPr>
        <w:t>．本構想の基本認識</w:t>
      </w:r>
    </w:p>
    <w:p w14:paraId="10484FF9" w14:textId="77777777" w:rsidR="000D446C" w:rsidRDefault="00000000">
      <w:pPr>
        <w:spacing w:after="60" w:line="360" w:lineRule="exact"/>
        <w:rPr>
          <w:lang w:eastAsia="ja-JP"/>
        </w:rPr>
      </w:pPr>
      <w:r>
        <w:rPr>
          <w:lang w:eastAsia="ja-JP"/>
        </w:rPr>
        <w:t>本構想は、首都圏に偏在する教育、研究、就職及び産業実装の構造に対応し、北日本において教育、研究及び就業を接続する地方定着型人材循環を形成しようとするものである。その性格は、単なる産業誘致に付随する人材確保策ではなく、AI、計算基盤、半導体後工程、物流DXその他の基盤産業を支える人材を、地域で育成し、研究し、地域で就業し得る教育研究基盤として再設計しようとする点にある。</w:t>
      </w:r>
    </w:p>
    <w:p w14:paraId="4130AFBD" w14:textId="77777777" w:rsidR="000D446C" w:rsidRDefault="00000000">
      <w:pPr>
        <w:pStyle w:val="1"/>
        <w:spacing w:after="60" w:line="360" w:lineRule="exact"/>
        <w:rPr>
          <w:lang w:eastAsia="ja-JP"/>
        </w:rPr>
      </w:pPr>
      <w:r>
        <w:rPr>
          <w:lang w:eastAsia="ja-JP"/>
        </w:rPr>
        <w:t>2</w:t>
      </w:r>
      <w:r>
        <w:rPr>
          <w:lang w:eastAsia="ja-JP"/>
        </w:rPr>
        <w:t>．青森を起点とする理由</w:t>
      </w:r>
    </w:p>
    <w:p w14:paraId="03D2CCEA" w14:textId="77777777" w:rsidR="000D446C" w:rsidRDefault="00000000">
      <w:pPr>
        <w:spacing w:after="60" w:line="360" w:lineRule="exact"/>
        <w:rPr>
          <w:lang w:eastAsia="ja-JP"/>
        </w:rPr>
      </w:pPr>
      <w:r>
        <w:rPr>
          <w:lang w:eastAsia="ja-JP"/>
        </w:rPr>
        <w:t>本構想において青森を起点とする理由は、エネルギー基盤、計算基盤、物流基盤及び産業基盤の整備と教育研究環境を近接させることができるためである。すなわち、大学、高専、専門学校及び研究機関による教育研究活動を、地域に実装される計算基盤、データセンター、半導体後工程、関連材料、物流及び地域DXと直接接続し得る点に特徴がある。このため、青森は単なる地方教育拠点ではなく、教育、研究、実装及び就業を同一地域内で接続し得る人材育成基盤の受け皿として整理することが適当である。</w:t>
      </w:r>
    </w:p>
    <w:p w14:paraId="490BEC06" w14:textId="77777777" w:rsidR="000D446C" w:rsidRDefault="00000000">
      <w:pPr>
        <w:pStyle w:val="1"/>
        <w:spacing w:after="60" w:line="360" w:lineRule="exact"/>
        <w:rPr>
          <w:lang w:eastAsia="ja-JP"/>
        </w:rPr>
      </w:pPr>
      <w:r>
        <w:rPr>
          <w:lang w:eastAsia="ja-JP"/>
        </w:rPr>
        <w:t>3</w:t>
      </w:r>
      <w:r>
        <w:rPr>
          <w:lang w:eastAsia="ja-JP"/>
        </w:rPr>
        <w:t>．大学・高専・専門学校との接続</w:t>
      </w:r>
    </w:p>
    <w:p w14:paraId="696A72CD" w14:textId="77777777" w:rsidR="000D446C" w:rsidRDefault="00000000">
      <w:pPr>
        <w:spacing w:after="60" w:line="360" w:lineRule="exact"/>
        <w:rPr>
          <w:lang w:eastAsia="ja-JP"/>
        </w:rPr>
      </w:pPr>
      <w:r>
        <w:rPr>
          <w:lang w:eastAsia="ja-JP"/>
        </w:rPr>
        <w:t>本構想は、大学、高専及び専門学校との接続を重視する。大学は研究開発及び高度専門人材育成、高専は実践的技術人材育成、専門学校その他の職業教育機関は地域実装及び運用人材育成の観点から、それぞれ重要な役割を担う。このため、本構想は、既存の教育機関を新たな基盤産業と接続し、地域において学び、研究し、働くことのできる教育研究回路を形成することを企図するものである。</w:t>
      </w:r>
    </w:p>
    <w:p w14:paraId="33C30D65" w14:textId="77777777" w:rsidR="000D446C" w:rsidRDefault="00000000">
      <w:pPr>
        <w:pStyle w:val="1"/>
        <w:spacing w:after="60" w:line="360" w:lineRule="exact"/>
        <w:rPr>
          <w:lang w:eastAsia="ja-JP"/>
        </w:rPr>
      </w:pPr>
      <w:r>
        <w:rPr>
          <w:lang w:eastAsia="ja-JP"/>
        </w:rPr>
        <w:t>4</w:t>
      </w:r>
      <w:r>
        <w:rPr>
          <w:lang w:eastAsia="ja-JP"/>
        </w:rPr>
        <w:t>．</w:t>
      </w:r>
      <w:r>
        <w:rPr>
          <w:lang w:eastAsia="ja-JP"/>
        </w:rPr>
        <w:t>AI</w:t>
      </w:r>
      <w:r>
        <w:rPr>
          <w:lang w:eastAsia="ja-JP"/>
        </w:rPr>
        <w:t>・計算基盤・半導体関連人材の育成</w:t>
      </w:r>
    </w:p>
    <w:p w14:paraId="5CE5BD3F" w14:textId="77777777" w:rsidR="000D446C" w:rsidRDefault="00000000">
      <w:pPr>
        <w:spacing w:after="60" w:line="360" w:lineRule="exact"/>
        <w:rPr>
          <w:lang w:eastAsia="ja-JP"/>
        </w:rPr>
      </w:pPr>
      <w:r>
        <w:rPr>
          <w:lang w:eastAsia="ja-JP"/>
        </w:rPr>
        <w:t>本構想は、AI、計算基盤、データセンター運用及び地域DXを支える人材育成を重視する。単に研究者を育成するのみならず、計算資本を実際に運用し、地域行政、産業及び社会基盤を支える運用人材、保守人材、通信人材及び実装人材を育成する必要がある。</w:t>
      </w:r>
    </w:p>
    <w:p w14:paraId="749A06C1" w14:textId="77777777" w:rsidR="000D446C" w:rsidRDefault="00000000">
      <w:pPr>
        <w:spacing w:after="60" w:line="360" w:lineRule="exact"/>
        <w:rPr>
          <w:lang w:eastAsia="ja-JP"/>
        </w:rPr>
      </w:pPr>
      <w:r>
        <w:rPr>
          <w:lang w:eastAsia="ja-JP"/>
        </w:rPr>
        <w:t>また、本構想は、半導体後工程、関連材料及び地域産業との接続を想定している。半導体及び関連産業は、設計研究のみならず、製造、品質管理、保守運用及び技術支援を担う実務人材を必要とすることから、大学、高専、専門学校及び地域企業を接続した教育研究体制が必要となる。</w:t>
      </w:r>
    </w:p>
    <w:p w14:paraId="54021764" w14:textId="77777777" w:rsidR="000D446C" w:rsidRDefault="00000000">
      <w:pPr>
        <w:pStyle w:val="1"/>
        <w:spacing w:after="60" w:line="360" w:lineRule="exact"/>
        <w:rPr>
          <w:lang w:eastAsia="ja-JP"/>
        </w:rPr>
      </w:pPr>
      <w:r>
        <w:rPr>
          <w:lang w:eastAsia="ja-JP"/>
        </w:rPr>
        <w:t>5</w:t>
      </w:r>
      <w:r>
        <w:rPr>
          <w:lang w:eastAsia="ja-JP"/>
        </w:rPr>
        <w:t>．研究開発基盤と産学官連携</w:t>
      </w:r>
    </w:p>
    <w:p w14:paraId="6F484C24" w14:textId="77777777" w:rsidR="000D446C" w:rsidRDefault="00000000">
      <w:pPr>
        <w:spacing w:after="60" w:line="360" w:lineRule="exact"/>
        <w:rPr>
          <w:lang w:eastAsia="ja-JP"/>
        </w:rPr>
      </w:pPr>
      <w:r>
        <w:rPr>
          <w:lang w:eastAsia="ja-JP"/>
        </w:rPr>
        <w:t>本構想は、研究開発基盤及び産学官連携とも接続する。地域課題と研究課題を結び付け、教育機関、研究機関、行政及び企業が連携して実証研究を行うことにより、研究と実装を往復させる地</w:t>
      </w:r>
      <w:r>
        <w:rPr>
          <w:lang w:eastAsia="ja-JP"/>
        </w:rPr>
        <w:lastRenderedPageBreak/>
        <w:t>域型研究開発拠点を形成することが可能となる。ここで重要なのは、研究を地域から切り離された抽象的活動として扱うのではなく、地域課題解決及び地方定着型人材循環と一体で整理することである。</w:t>
      </w:r>
    </w:p>
    <w:p w14:paraId="439DE1BC" w14:textId="77777777" w:rsidR="000D446C" w:rsidRDefault="00000000">
      <w:pPr>
        <w:pStyle w:val="1"/>
        <w:spacing w:after="60" w:line="360" w:lineRule="exact"/>
        <w:rPr>
          <w:lang w:eastAsia="ja-JP"/>
        </w:rPr>
      </w:pPr>
      <w:r>
        <w:rPr>
          <w:lang w:eastAsia="ja-JP"/>
        </w:rPr>
        <w:t>6</w:t>
      </w:r>
      <w:r>
        <w:rPr>
          <w:lang w:eastAsia="ja-JP"/>
        </w:rPr>
        <w:t>．地方定着型人材循環</w:t>
      </w:r>
    </w:p>
    <w:p w14:paraId="1AE9CF6D" w14:textId="77777777" w:rsidR="000D446C" w:rsidRDefault="00000000">
      <w:pPr>
        <w:spacing w:after="60" w:line="360" w:lineRule="exact"/>
        <w:rPr>
          <w:lang w:eastAsia="ja-JP"/>
        </w:rPr>
      </w:pPr>
      <w:r>
        <w:rPr>
          <w:lang w:eastAsia="ja-JP"/>
        </w:rPr>
        <w:t>本構想は、地方定着型人材循環の形成を重視する。教育、研究及び就業が地域内で接続されることにより、首都圏流出一辺倒ではない進路形成を可能とし、地方圏において学び、研究し、働くことのできる持続的な人材循環を形成する。このことは、単なる人材供給にとどまらず、地方圏における教育研究基盤及び地域産業基盤の持続可能性向上にも資する。</w:t>
      </w:r>
    </w:p>
    <w:p w14:paraId="16C7522E" w14:textId="77777777" w:rsidR="000D446C" w:rsidRDefault="00000000">
      <w:pPr>
        <w:pStyle w:val="1"/>
        <w:spacing w:after="60" w:line="360" w:lineRule="exact"/>
        <w:rPr>
          <w:lang w:eastAsia="ja-JP"/>
        </w:rPr>
      </w:pPr>
      <w:r>
        <w:rPr>
          <w:lang w:eastAsia="ja-JP"/>
        </w:rPr>
        <w:t>7</w:t>
      </w:r>
      <w:r>
        <w:rPr>
          <w:lang w:eastAsia="ja-JP"/>
        </w:rPr>
        <w:t>．結論</w:t>
      </w:r>
    </w:p>
    <w:p w14:paraId="77A8706C" w14:textId="77777777" w:rsidR="000D446C" w:rsidRDefault="00000000">
      <w:pPr>
        <w:spacing w:after="60" w:line="360" w:lineRule="exact"/>
        <w:rPr>
          <w:lang w:eastAsia="ja-JP"/>
        </w:rPr>
      </w:pPr>
      <w:r>
        <w:rPr>
          <w:lang w:eastAsia="ja-JP"/>
        </w:rPr>
        <w:t>以上のとおり、本構想は、単なる施設整備又は産業誘致を主目的とするものではなく、北日本において教育、研究、実装及び就業を接続し、地方定着型の人材循環を形成しようとするものである。文部科学省向け説明においては、大学、高専及び専門学校との接続、AI・計算基盤・半導体関連人材の育成、研究開発基盤及び産学官連携並びに地方圏における教育、研究及び就業の循環形成を中心に整理することが適当である。</w:t>
      </w:r>
    </w:p>
    <w:p w14:paraId="13EDC48A" w14:textId="77777777" w:rsidR="000D446C" w:rsidRDefault="00000000">
      <w:pPr>
        <w:spacing w:before="120" w:line="240" w:lineRule="exact"/>
        <w:rPr>
          <w:lang w:eastAsia="ja-JP"/>
        </w:rPr>
      </w:pPr>
      <w:r>
        <w:rPr>
          <w:sz w:val="17"/>
          <w:lang w:eastAsia="ja-JP"/>
        </w:rPr>
        <w:t>注）本資料は説明用整理案であり、記載内容については、今後、高等教育政策、職業教育、研究開発政策及び既存施策との整合性を踏まえてさらに精査する前提である。</w:t>
      </w:r>
    </w:p>
    <w:sectPr w:rsidR="000D446C" w:rsidSect="00034616">
      <w:pgSz w:w="12240" w:h="15840"/>
      <w:pgMar w:top="1417" w:right="1531" w:bottom="1417" w:left="153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16cid:durableId="1143734445">
    <w:abstractNumId w:val="8"/>
  </w:num>
  <w:num w:numId="2" w16cid:durableId="222719410">
    <w:abstractNumId w:val="6"/>
  </w:num>
  <w:num w:numId="3" w16cid:durableId="36978707">
    <w:abstractNumId w:val="5"/>
  </w:num>
  <w:num w:numId="4" w16cid:durableId="2115247516">
    <w:abstractNumId w:val="4"/>
  </w:num>
  <w:num w:numId="5" w16cid:durableId="999189234">
    <w:abstractNumId w:val="7"/>
  </w:num>
  <w:num w:numId="6" w16cid:durableId="1847861715">
    <w:abstractNumId w:val="3"/>
  </w:num>
  <w:num w:numId="7" w16cid:durableId="1335916218">
    <w:abstractNumId w:val="2"/>
  </w:num>
  <w:num w:numId="8" w16cid:durableId="401561571">
    <w:abstractNumId w:val="1"/>
  </w:num>
  <w:num w:numId="9" w16cid:durableId="14184817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D446C"/>
    <w:rsid w:val="0015074B"/>
    <w:rsid w:val="0029639D"/>
    <w:rsid w:val="00326F90"/>
    <w:rsid w:val="00682D30"/>
    <w:rsid w:val="00AA1D8D"/>
    <w:rsid w:val="00B47730"/>
    <w:rsid w:val="00CB0664"/>
    <w:rsid w:val="00FC693F"/>
    <w:rsid w:val="00FE0C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v:textbox inset="5.85pt,.7pt,5.85pt,.7pt"/>
    </o:shapedefaults>
    <o:shapelayout v:ext="edit">
      <o:idmap v:ext="edit" data="1"/>
    </o:shapelayout>
  </w:shapeDefaults>
  <w:decimalSymbol w:val="."/>
  <w:listSeparator w:val=","/>
  <w14:docId w14:val="74DFC3AA"/>
  <w14:defaultImageDpi w14:val="300"/>
  <w15:docId w15:val="{ED130181-9240-4B54-9413-1B6D09570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rPr>
      <w:rFonts w:ascii="游明朝" w:eastAsia="游明朝" w:hAnsi="游明朝"/>
      <w:sz w:val="21"/>
    </w:rPr>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6"/>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3"/>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ヘッダー (文字)"/>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フッター (文字)"/>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見出し 1 (文字)"/>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見出し 2 (文字)"/>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見出し 3 (文字)"/>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b/>
      <w:color w:val="17365D" w:themeColor="text2" w:themeShade="BF"/>
      <w:spacing w:val="5"/>
      <w:kern w:val="28"/>
      <w:sz w:val="32"/>
      <w:szCs w:val="52"/>
    </w:rPr>
  </w:style>
  <w:style w:type="character" w:customStyle="1" w:styleId="ab">
    <w:name w:val="表題 (文字)"/>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b/>
      <w:i/>
      <w:iCs/>
      <w:color w:val="4F81BD" w:themeColor="accent1"/>
      <w:spacing w:val="15"/>
      <w:sz w:val="24"/>
      <w:szCs w:val="24"/>
    </w:rPr>
  </w:style>
  <w:style w:type="character" w:customStyle="1" w:styleId="ad">
    <w:name w:val="副題 (文字)"/>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本文 (文字)"/>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本文 2 (文字)"/>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本文 3 (文字)"/>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マクロ文字列 (文字)"/>
    <w:basedOn w:val="a2"/>
    <w:link w:val="af3"/>
    <w:uiPriority w:val="99"/>
    <w:rsid w:val="0029639D"/>
    <w:rPr>
      <w:rFonts w:ascii="Courier" w:hAnsi="Courier"/>
      <w:sz w:val="20"/>
      <w:szCs w:val="20"/>
    </w:rPr>
  </w:style>
  <w:style w:type="paragraph" w:styleId="af5">
    <w:name w:val="Quote"/>
    <w:basedOn w:val="a1"/>
    <w:next w:val="a1"/>
    <w:link w:val="af6"/>
    <w:uiPriority w:val="29"/>
    <w:qFormat/>
    <w:rsid w:val="00FC693F"/>
    <w:rPr>
      <w:i/>
      <w:iCs/>
      <w:color w:val="000000" w:themeColor="text1"/>
    </w:rPr>
  </w:style>
  <w:style w:type="character" w:customStyle="1" w:styleId="af6">
    <w:name w:val="引用文 (文字)"/>
    <w:basedOn w:val="a2"/>
    <w:link w:val="af5"/>
    <w:uiPriority w:val="29"/>
    <w:rsid w:val="00FC693F"/>
    <w:rPr>
      <w:i/>
      <w:iCs/>
      <w:color w:val="000000" w:themeColor="text1"/>
    </w:rPr>
  </w:style>
  <w:style w:type="character" w:customStyle="1" w:styleId="40">
    <w:name w:val="見出し 4 (文字)"/>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見出し 5 (文字)"/>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見出し 6 (文字)"/>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見出し 7 (文字)"/>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見出し 8 (文字)"/>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見出し 9 (文字)"/>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27">
    <w:name w:val="Intense Quote"/>
    <w:basedOn w:val="a1"/>
    <w:next w:val="a1"/>
    <w:link w:val="28"/>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28">
    <w:name w:val="引用文 2 (文字)"/>
    <w:basedOn w:val="a2"/>
    <w:link w:val="27"/>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29">
    <w:name w:val="Intense Emphasis"/>
    <w:basedOn w:val="a2"/>
    <w:uiPriority w:val="21"/>
    <w:qFormat/>
    <w:rsid w:val="00FC693F"/>
    <w:rPr>
      <w:b/>
      <w:bCs/>
      <w:i/>
      <w:iCs/>
      <w:color w:val="4F81BD" w:themeColor="accent1"/>
    </w:rPr>
  </w:style>
  <w:style w:type="character" w:styleId="afb">
    <w:name w:val="Subtle Reference"/>
    <w:basedOn w:val="a2"/>
    <w:uiPriority w:val="31"/>
    <w:qFormat/>
    <w:rsid w:val="00FC693F"/>
    <w:rPr>
      <w:smallCaps/>
      <w:color w:val="C0504D" w:themeColor="accent2"/>
      <w:u w:val="single"/>
    </w:rPr>
  </w:style>
  <w:style w:type="character" w:styleId="2a">
    <w:name w:val="Intense Reference"/>
    <w:basedOn w:val="a2"/>
    <w:uiPriority w:val="32"/>
    <w:qFormat/>
    <w:rsid w:val="00FC693F"/>
    <w:rPr>
      <w:b/>
      <w:bCs/>
      <w:smallCaps/>
      <w:color w:val="C0504D" w:themeColor="accent2"/>
      <w:spacing w:val="5"/>
      <w:u w:val="single"/>
    </w:rPr>
  </w:style>
  <w:style w:type="character" w:styleId="afc">
    <w:name w:val="Book Title"/>
    <w:basedOn w:val="a2"/>
    <w:uiPriority w:val="33"/>
    <w:qFormat/>
    <w:rsid w:val="00FC693F"/>
    <w:rPr>
      <w:b/>
      <w:bCs/>
      <w:smallCaps/>
      <w:spacing w:val="5"/>
    </w:rPr>
  </w:style>
  <w:style w:type="paragraph" w:styleId="afd">
    <w:name w:val="TOC Heading"/>
    <w:basedOn w:val="1"/>
    <w:next w:val="a1"/>
    <w:uiPriority w:val="39"/>
    <w:semiHidden/>
    <w:unhideWhenUsed/>
    <w:qFormat/>
    <w:rsid w:val="00FC693F"/>
    <w:pPr>
      <w:outlineLvl w:val="9"/>
    </w:pPr>
  </w:style>
  <w:style w:type="table" w:styleId="afe">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2">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3">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4">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15">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16">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17">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b">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d">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e">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2f">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2f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2f1">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7">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38">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39">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a">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3b">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3c">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d">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4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42">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43">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44">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45">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46">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47">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51">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2">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3">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4">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5">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6">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7">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1">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62">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63">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64">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65">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66">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67">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71">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2">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3">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4">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75">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76">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82">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83">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4">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5">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6">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7">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92">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93">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100">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10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0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10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10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10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10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10">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11">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1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113">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4">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5">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6">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120">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1">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22">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12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24">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125">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126">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130">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31">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32">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133">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3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35">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136">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140">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41">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42">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43">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4">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6">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mallHeader">
    <w:name w:val="SmallHeader"/>
    <w:basedOn w:val="a1"/>
    <w:rsid w:val="00682D30"/>
    <w:pPr>
      <w:spacing w:after="160" w:line="288" w:lineRule="auto"/>
      <w:jc w:val="right"/>
    </w:pPr>
    <w:rPr>
      <w:rFonts w:ascii="ＭＳ 明朝" w:eastAsia="ＭＳ 明朝" w:hAnsi="ＭＳ 明朝"/>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347</Words>
  <Characters>1979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葬祭 天龍</cp:lastModifiedBy>
  <cp:revision>2</cp:revision>
  <dcterms:created xsi:type="dcterms:W3CDTF">2013-12-23T23:15:00Z</dcterms:created>
  <dcterms:modified xsi:type="dcterms:W3CDTF">2026-04-13T10:58:00Z</dcterms:modified>
  <cp:category/>
</cp:coreProperties>
</file>