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8C2A8" w14:textId="77777777" w:rsidR="00BE2B2A" w:rsidRDefault="00BE2B2A" w:rsidP="00BE2B2A">
      <w:pPr>
        <w:pStyle w:val="SmallHeader"/>
        <w:jc w:val="center"/>
        <w:rPr>
          <w:lang w:eastAsia="ja-JP"/>
        </w:rPr>
      </w:pPr>
    </w:p>
    <w:p w14:paraId="035064B4" w14:textId="77777777" w:rsidR="00BE2B2A" w:rsidRDefault="00BE2B2A" w:rsidP="00BE2B2A">
      <w:pPr>
        <w:pStyle w:val="SmallHeader"/>
        <w:rPr>
          <w:lang w:eastAsia="ja-JP"/>
        </w:rPr>
      </w:pPr>
    </w:p>
    <w:p w14:paraId="3E340450" w14:textId="77777777" w:rsidR="00BE2B2A" w:rsidRDefault="00BE2B2A" w:rsidP="00BE2B2A">
      <w:pPr>
        <w:pStyle w:val="SmallHeader"/>
        <w:rPr>
          <w:lang w:eastAsia="ja-JP"/>
        </w:rPr>
      </w:pPr>
    </w:p>
    <w:p w14:paraId="6C96505F" w14:textId="77777777" w:rsidR="00BE2B2A" w:rsidRDefault="00BE2B2A" w:rsidP="00BE2B2A">
      <w:pPr>
        <w:pStyle w:val="SmallHeader"/>
        <w:rPr>
          <w:lang w:eastAsia="ja-JP"/>
        </w:rPr>
      </w:pPr>
    </w:p>
    <w:p w14:paraId="37B99D2A" w14:textId="77777777" w:rsidR="00BE2B2A" w:rsidRPr="00BE2B2A" w:rsidRDefault="00BE2B2A" w:rsidP="00BE2B2A">
      <w:pPr>
        <w:pStyle w:val="SmallHeader"/>
        <w:jc w:val="center"/>
        <w:rPr>
          <w:sz w:val="36"/>
          <w:szCs w:val="48"/>
          <w:lang w:eastAsia="ja-JP"/>
        </w:rPr>
      </w:pPr>
      <w:r w:rsidRPr="00BE2B2A">
        <w:rPr>
          <w:rFonts w:hint="eastAsia"/>
          <w:sz w:val="36"/>
          <w:szCs w:val="48"/>
          <w:lang w:eastAsia="ja-JP"/>
        </w:rPr>
        <w:t>北日本戦略再設計構想</w:t>
      </w:r>
    </w:p>
    <w:p w14:paraId="66CF2148" w14:textId="77777777" w:rsidR="00BE2B2A" w:rsidRPr="00BE2B2A" w:rsidRDefault="00BE2B2A" w:rsidP="00BE2B2A">
      <w:pPr>
        <w:pStyle w:val="SmallHeader"/>
        <w:jc w:val="center"/>
        <w:rPr>
          <w:sz w:val="36"/>
          <w:szCs w:val="48"/>
          <w:lang w:eastAsia="ja-JP"/>
        </w:rPr>
      </w:pPr>
      <w:r w:rsidRPr="00BE2B2A">
        <w:rPr>
          <w:rFonts w:hint="eastAsia"/>
          <w:sz w:val="36"/>
          <w:szCs w:val="48"/>
          <w:lang w:eastAsia="ja-JP"/>
        </w:rPr>
        <w:t>【法務省向け説明資料】</w:t>
      </w:r>
    </w:p>
    <w:p w14:paraId="1F3FC517" w14:textId="333CBCDF" w:rsidR="00BE2B2A" w:rsidRPr="007C7587" w:rsidRDefault="00BE2B2A" w:rsidP="00BE2B2A">
      <w:pPr>
        <w:pStyle w:val="SmallHeader"/>
        <w:jc w:val="center"/>
        <w:rPr>
          <w:sz w:val="36"/>
          <w:szCs w:val="48"/>
          <w:lang w:eastAsia="ja-JP"/>
        </w:rPr>
      </w:pPr>
      <w:r w:rsidRPr="00BE2B2A">
        <w:rPr>
          <w:rFonts w:hint="eastAsia"/>
          <w:sz w:val="36"/>
          <w:szCs w:val="48"/>
          <w:lang w:eastAsia="ja-JP"/>
        </w:rPr>
        <w:t>法人・契約・権利義務・人権配慮に関する説明資料</w:t>
      </w:r>
    </w:p>
    <w:p w14:paraId="6C78D241" w14:textId="77777777" w:rsidR="00BE2B2A" w:rsidRDefault="00BE2B2A" w:rsidP="00BE2B2A">
      <w:pPr>
        <w:pStyle w:val="SmallHeader"/>
        <w:jc w:val="center"/>
        <w:rPr>
          <w:lang w:eastAsia="ja-JP"/>
        </w:rPr>
      </w:pPr>
    </w:p>
    <w:p w14:paraId="7226EBB7" w14:textId="77777777" w:rsidR="00BE2B2A" w:rsidRDefault="00BE2B2A" w:rsidP="00BE2B2A">
      <w:pPr>
        <w:pStyle w:val="SmallHeader"/>
        <w:jc w:val="center"/>
        <w:rPr>
          <w:lang w:eastAsia="ja-JP"/>
        </w:rPr>
      </w:pPr>
    </w:p>
    <w:p w14:paraId="5A2DBF18" w14:textId="77777777" w:rsidR="00BE2B2A" w:rsidRDefault="00BE2B2A" w:rsidP="00BE2B2A">
      <w:pPr>
        <w:pStyle w:val="SmallHeader"/>
        <w:jc w:val="center"/>
        <w:rPr>
          <w:lang w:eastAsia="ja-JP"/>
        </w:rPr>
      </w:pPr>
    </w:p>
    <w:p w14:paraId="2808E00D" w14:textId="77777777" w:rsidR="00BE2B2A" w:rsidRDefault="00BE2B2A" w:rsidP="00BE2B2A">
      <w:pPr>
        <w:pStyle w:val="SmallHeader"/>
        <w:jc w:val="center"/>
        <w:rPr>
          <w:rFonts w:hint="eastAsia"/>
          <w:lang w:eastAsia="ja-JP"/>
        </w:rPr>
      </w:pPr>
    </w:p>
    <w:p w14:paraId="77880E83" w14:textId="77777777" w:rsidR="00BE2B2A" w:rsidRPr="007C7587" w:rsidRDefault="00BE2B2A" w:rsidP="00BE2B2A">
      <w:pPr>
        <w:pStyle w:val="SmallHeader"/>
        <w:jc w:val="center"/>
        <w:rPr>
          <w:sz w:val="22"/>
          <w:szCs w:val="32"/>
          <w:lang w:eastAsia="ja-JP"/>
        </w:rPr>
      </w:pPr>
      <w:r w:rsidRPr="007C7587">
        <w:rPr>
          <w:rFonts w:hint="eastAsia"/>
          <w:sz w:val="22"/>
          <w:szCs w:val="32"/>
          <w:lang w:eastAsia="ja-JP"/>
        </w:rPr>
        <w:t>提出者：新岡</w:t>
      </w:r>
      <w:r w:rsidRPr="007C7587">
        <w:rPr>
          <w:sz w:val="22"/>
          <w:szCs w:val="32"/>
          <w:lang w:eastAsia="ja-JP"/>
        </w:rPr>
        <w:t xml:space="preserve"> 昌心</w:t>
      </w:r>
    </w:p>
    <w:p w14:paraId="39A1B5D8" w14:textId="77777777" w:rsidR="00BE2B2A" w:rsidRPr="007C7587" w:rsidRDefault="00BE2B2A" w:rsidP="00BE2B2A">
      <w:pPr>
        <w:pStyle w:val="SmallHeader"/>
        <w:jc w:val="center"/>
        <w:rPr>
          <w:sz w:val="22"/>
          <w:szCs w:val="32"/>
          <w:lang w:eastAsia="ja-JP"/>
        </w:rPr>
      </w:pPr>
      <w:r w:rsidRPr="007C7587">
        <w:rPr>
          <w:rFonts w:hint="eastAsia"/>
          <w:sz w:val="22"/>
          <w:szCs w:val="32"/>
          <w:lang w:eastAsia="ja-JP"/>
        </w:rPr>
        <w:t>提出日：令和○年○月○日</w:t>
      </w:r>
    </w:p>
    <w:p w14:paraId="7CF02444" w14:textId="77777777" w:rsidR="00BE2B2A" w:rsidRPr="00BE2B2A" w:rsidRDefault="00BE2B2A">
      <w:pPr>
        <w:spacing w:after="60" w:line="360" w:lineRule="exact"/>
        <w:jc w:val="right"/>
        <w:rPr>
          <w:sz w:val="18"/>
          <w:lang w:eastAsia="ja-JP"/>
        </w:rPr>
      </w:pPr>
    </w:p>
    <w:p w14:paraId="224F7071" w14:textId="77777777" w:rsidR="00BE2B2A" w:rsidRDefault="00BE2B2A">
      <w:pPr>
        <w:spacing w:after="60" w:line="360" w:lineRule="exact"/>
        <w:jc w:val="right"/>
        <w:rPr>
          <w:sz w:val="18"/>
          <w:lang w:eastAsia="ja-JP"/>
        </w:rPr>
      </w:pPr>
    </w:p>
    <w:p w14:paraId="2ADE176B" w14:textId="77777777" w:rsidR="00BE2B2A" w:rsidRDefault="00BE2B2A">
      <w:pPr>
        <w:spacing w:after="60" w:line="360" w:lineRule="exact"/>
        <w:jc w:val="right"/>
        <w:rPr>
          <w:sz w:val="18"/>
          <w:lang w:eastAsia="ja-JP"/>
        </w:rPr>
      </w:pPr>
    </w:p>
    <w:p w14:paraId="02B34D27" w14:textId="77777777" w:rsidR="00BE2B2A" w:rsidRDefault="00BE2B2A">
      <w:pPr>
        <w:spacing w:after="60" w:line="360" w:lineRule="exact"/>
        <w:jc w:val="right"/>
        <w:rPr>
          <w:sz w:val="18"/>
          <w:lang w:eastAsia="ja-JP"/>
        </w:rPr>
      </w:pPr>
    </w:p>
    <w:p w14:paraId="22302A9C" w14:textId="77777777" w:rsidR="00BE2B2A" w:rsidRDefault="00BE2B2A">
      <w:pPr>
        <w:spacing w:after="60" w:line="360" w:lineRule="exact"/>
        <w:jc w:val="right"/>
        <w:rPr>
          <w:sz w:val="18"/>
          <w:lang w:eastAsia="ja-JP"/>
        </w:rPr>
      </w:pPr>
    </w:p>
    <w:p w14:paraId="131A91E3" w14:textId="77777777" w:rsidR="00BE2B2A" w:rsidRDefault="00BE2B2A">
      <w:pPr>
        <w:spacing w:after="60" w:line="360" w:lineRule="exact"/>
        <w:jc w:val="right"/>
        <w:rPr>
          <w:sz w:val="18"/>
          <w:lang w:eastAsia="ja-JP"/>
        </w:rPr>
      </w:pPr>
    </w:p>
    <w:p w14:paraId="38DCE4F6" w14:textId="77777777" w:rsidR="00BE2B2A" w:rsidRDefault="00BE2B2A">
      <w:pPr>
        <w:spacing w:after="60" w:line="360" w:lineRule="exact"/>
        <w:jc w:val="right"/>
        <w:rPr>
          <w:sz w:val="18"/>
          <w:lang w:eastAsia="ja-JP"/>
        </w:rPr>
      </w:pPr>
    </w:p>
    <w:p w14:paraId="3236CBC1" w14:textId="77777777" w:rsidR="00BE2B2A" w:rsidRDefault="00BE2B2A">
      <w:pPr>
        <w:spacing w:after="60" w:line="360" w:lineRule="exact"/>
        <w:jc w:val="right"/>
        <w:rPr>
          <w:sz w:val="18"/>
          <w:lang w:eastAsia="ja-JP"/>
        </w:rPr>
      </w:pPr>
    </w:p>
    <w:p w14:paraId="03608C3B" w14:textId="77777777" w:rsidR="00BE2B2A" w:rsidRDefault="00BE2B2A">
      <w:pPr>
        <w:spacing w:after="60" w:line="360" w:lineRule="exact"/>
        <w:jc w:val="right"/>
        <w:rPr>
          <w:rFonts w:hint="eastAsia"/>
          <w:sz w:val="18"/>
          <w:lang w:eastAsia="ja-JP"/>
        </w:rPr>
      </w:pPr>
    </w:p>
    <w:p w14:paraId="04894DFB" w14:textId="77777777" w:rsidR="00BE2B2A" w:rsidRDefault="00BE2B2A">
      <w:pPr>
        <w:spacing w:after="60" w:line="360" w:lineRule="exact"/>
        <w:jc w:val="right"/>
        <w:rPr>
          <w:sz w:val="18"/>
          <w:lang w:eastAsia="ja-JP"/>
        </w:rPr>
      </w:pPr>
    </w:p>
    <w:p w14:paraId="55D1001B" w14:textId="77777777" w:rsidR="00BE2B2A" w:rsidRDefault="00BE2B2A">
      <w:pPr>
        <w:spacing w:after="60" w:line="360" w:lineRule="exact"/>
        <w:jc w:val="right"/>
        <w:rPr>
          <w:sz w:val="18"/>
          <w:lang w:eastAsia="ja-JP"/>
        </w:rPr>
      </w:pPr>
    </w:p>
    <w:p w14:paraId="247ED384" w14:textId="77777777" w:rsidR="00BE2B2A" w:rsidRDefault="00BE2B2A">
      <w:pPr>
        <w:spacing w:after="60" w:line="360" w:lineRule="exact"/>
        <w:jc w:val="right"/>
        <w:rPr>
          <w:sz w:val="18"/>
          <w:lang w:eastAsia="ja-JP"/>
        </w:rPr>
      </w:pPr>
    </w:p>
    <w:p w14:paraId="01C56243" w14:textId="77777777" w:rsidR="00BE2B2A" w:rsidRDefault="00BE2B2A">
      <w:pPr>
        <w:spacing w:after="60" w:line="360" w:lineRule="exact"/>
        <w:jc w:val="right"/>
        <w:rPr>
          <w:sz w:val="18"/>
          <w:lang w:eastAsia="ja-JP"/>
        </w:rPr>
      </w:pPr>
    </w:p>
    <w:p w14:paraId="0D7D625B" w14:textId="77777777" w:rsidR="00BE2B2A" w:rsidRDefault="00BE2B2A">
      <w:pPr>
        <w:spacing w:after="60" w:line="360" w:lineRule="exact"/>
        <w:jc w:val="right"/>
        <w:rPr>
          <w:sz w:val="18"/>
          <w:lang w:eastAsia="ja-JP"/>
        </w:rPr>
      </w:pPr>
    </w:p>
    <w:p w14:paraId="218D4120" w14:textId="77777777" w:rsidR="00BE2B2A" w:rsidRDefault="00BE2B2A">
      <w:pPr>
        <w:spacing w:after="60" w:line="360" w:lineRule="exact"/>
        <w:jc w:val="right"/>
        <w:rPr>
          <w:sz w:val="18"/>
          <w:lang w:eastAsia="ja-JP"/>
        </w:rPr>
      </w:pPr>
    </w:p>
    <w:p w14:paraId="0FC64556" w14:textId="1E32E523" w:rsidR="006B2BC5" w:rsidRDefault="00000000">
      <w:pPr>
        <w:spacing w:after="60" w:line="360" w:lineRule="exact"/>
        <w:jc w:val="right"/>
        <w:rPr>
          <w:lang w:eastAsia="ja-JP"/>
        </w:rPr>
      </w:pPr>
      <w:r>
        <w:rPr>
          <w:sz w:val="18"/>
          <w:lang w:eastAsia="ja-JP"/>
        </w:rPr>
        <w:lastRenderedPageBreak/>
        <w:t>法務省向け／説明資料（案）</w:t>
      </w:r>
    </w:p>
    <w:p w14:paraId="445EB402" w14:textId="77777777" w:rsidR="006B2BC5" w:rsidRDefault="00000000">
      <w:pPr>
        <w:pStyle w:val="aa"/>
        <w:spacing w:after="120" w:line="360" w:lineRule="exact"/>
        <w:jc w:val="center"/>
        <w:rPr>
          <w:lang w:eastAsia="ja-JP"/>
        </w:rPr>
      </w:pPr>
      <w:r>
        <w:rPr>
          <w:lang w:eastAsia="ja-JP"/>
        </w:rPr>
        <w:t>北日本戦略再設計構想</w:t>
      </w:r>
    </w:p>
    <w:p w14:paraId="002C7A4F" w14:textId="77777777" w:rsidR="006B2BC5" w:rsidRDefault="00000000">
      <w:pPr>
        <w:pStyle w:val="ac"/>
        <w:spacing w:after="60" w:line="360" w:lineRule="exact"/>
        <w:jc w:val="center"/>
        <w:rPr>
          <w:lang w:eastAsia="ja-JP"/>
        </w:rPr>
      </w:pPr>
      <w:r>
        <w:rPr>
          <w:lang w:eastAsia="ja-JP"/>
        </w:rPr>
        <w:t>法制度整備・権利関係整理・人権配慮に関する説明資料</w:t>
      </w:r>
    </w:p>
    <w:p w14:paraId="455CEA69" w14:textId="77777777" w:rsidR="006B2BC5" w:rsidRDefault="00000000">
      <w:pPr>
        <w:pStyle w:val="ac"/>
        <w:spacing w:after="240" w:line="360" w:lineRule="exact"/>
        <w:jc w:val="center"/>
        <w:rPr>
          <w:lang w:eastAsia="ja-JP"/>
        </w:rPr>
      </w:pPr>
      <w:r>
        <w:rPr>
          <w:lang w:eastAsia="ja-JP"/>
        </w:rPr>
        <w:t>（法務省向け）</w:t>
      </w:r>
    </w:p>
    <w:p w14:paraId="1899A374" w14:textId="77777777" w:rsidR="006B2BC5" w:rsidRDefault="00000000">
      <w:pPr>
        <w:pStyle w:val="21"/>
        <w:spacing w:after="60" w:line="360" w:lineRule="exact"/>
        <w:rPr>
          <w:lang w:eastAsia="ja-JP"/>
        </w:rPr>
      </w:pPr>
      <w:r>
        <w:rPr>
          <w:lang w:eastAsia="ja-JP"/>
        </w:rPr>
        <w:t>作成目的</w:t>
      </w:r>
    </w:p>
    <w:p w14:paraId="59204AD1" w14:textId="77777777" w:rsidR="006B2BC5" w:rsidRDefault="00000000">
      <w:pPr>
        <w:spacing w:after="60" w:line="360" w:lineRule="exact"/>
        <w:rPr>
          <w:lang w:eastAsia="ja-JP"/>
        </w:rPr>
      </w:pPr>
      <w:r>
        <w:rPr>
          <w:lang w:eastAsia="ja-JP"/>
        </w:rPr>
        <w:t>本資料は、北日本戦略再設計構想について、法制度整備、権利関係整理、人権配慮及び外国人高度人材受入れ制度との整合の観点から整理し、法務省向け説明用資料として取りまとめるものである。</w:t>
      </w:r>
    </w:p>
    <w:p w14:paraId="46E31E2D" w14:textId="77777777" w:rsidR="006B2BC5" w:rsidRDefault="00000000">
      <w:pPr>
        <w:pStyle w:val="21"/>
        <w:spacing w:after="60" w:line="360" w:lineRule="exact"/>
        <w:rPr>
          <w:lang w:eastAsia="ja-JP"/>
        </w:rPr>
      </w:pPr>
      <w:r>
        <w:rPr>
          <w:lang w:eastAsia="ja-JP"/>
        </w:rPr>
        <w:t>位置づけ</w:t>
      </w:r>
    </w:p>
    <w:p w14:paraId="12096D8E" w14:textId="77777777" w:rsidR="006B2BC5" w:rsidRDefault="00000000">
      <w:pPr>
        <w:spacing w:after="60" w:line="360" w:lineRule="exact"/>
        <w:rPr>
          <w:lang w:eastAsia="ja-JP"/>
        </w:rPr>
      </w:pPr>
      <w:r>
        <w:rPr>
          <w:lang w:eastAsia="ja-JP"/>
        </w:rPr>
        <w:t>本資料は総合版から法務省向け論点を抽出した説明資料であり、記載内容については、今後、民事法制、法人法制、権利義務関係及び既存施策との整合性を踏まえてさらに精査する前提で整理したものである。</w:t>
      </w:r>
    </w:p>
    <w:p w14:paraId="0EBCA5D3" w14:textId="77777777" w:rsidR="006B2BC5" w:rsidRDefault="00000000">
      <w:pPr>
        <w:pStyle w:val="1"/>
        <w:spacing w:after="60" w:line="360" w:lineRule="exact"/>
        <w:rPr>
          <w:lang w:eastAsia="ja-JP"/>
        </w:rPr>
      </w:pPr>
      <w:r>
        <w:rPr>
          <w:lang w:eastAsia="ja-JP"/>
        </w:rPr>
        <w:t>0</w:t>
      </w:r>
      <w:r>
        <w:rPr>
          <w:lang w:eastAsia="ja-JP"/>
        </w:rPr>
        <w:t>．要旨</w:t>
      </w:r>
    </w:p>
    <w:p w14:paraId="76323CD5" w14:textId="77777777" w:rsidR="006B2BC5" w:rsidRDefault="00000000">
      <w:pPr>
        <w:pStyle w:val="21"/>
        <w:spacing w:after="60" w:line="360" w:lineRule="exact"/>
        <w:rPr>
          <w:lang w:eastAsia="ja-JP"/>
        </w:rPr>
      </w:pPr>
      <w:r>
        <w:rPr>
          <w:lang w:eastAsia="ja-JP"/>
        </w:rPr>
        <w:t>0-1</w:t>
      </w:r>
      <w:r>
        <w:rPr>
          <w:lang w:eastAsia="ja-JP"/>
        </w:rPr>
        <w:t>．一行要旨</w:t>
      </w:r>
    </w:p>
    <w:p w14:paraId="0054A587" w14:textId="77777777" w:rsidR="006B2BC5" w:rsidRDefault="00000000">
      <w:pPr>
        <w:spacing w:after="60" w:line="360" w:lineRule="exact"/>
        <w:rPr>
          <w:lang w:eastAsia="ja-JP"/>
        </w:rPr>
      </w:pPr>
      <w:r>
        <w:rPr>
          <w:lang w:eastAsia="ja-JP"/>
        </w:rPr>
        <w:t>本構想は、北日本戦略再設計構想を制度として実装可能なものとするため、NEASIFの法的器、土地・施設・海域関連資産の権利関係、契約及び事業運営の法的安定性並びに人権配慮を整理しようとする構想である。</w:t>
      </w:r>
    </w:p>
    <w:p w14:paraId="4A5EE01E" w14:textId="77777777" w:rsidR="006B2BC5" w:rsidRDefault="00000000">
      <w:pPr>
        <w:pStyle w:val="21"/>
        <w:spacing w:after="60" w:line="360" w:lineRule="exact"/>
        <w:rPr>
          <w:lang w:eastAsia="ja-JP"/>
        </w:rPr>
      </w:pPr>
      <w:r>
        <w:rPr>
          <w:lang w:eastAsia="ja-JP"/>
        </w:rPr>
        <w:t>0-2</w:t>
      </w:r>
      <w:r>
        <w:rPr>
          <w:lang w:eastAsia="ja-JP"/>
        </w:rPr>
        <w:t>．要点</w:t>
      </w:r>
    </w:p>
    <w:p w14:paraId="34C8C1F5" w14:textId="77777777" w:rsidR="006B2BC5" w:rsidRDefault="00000000">
      <w:pPr>
        <w:spacing w:after="60" w:line="360" w:lineRule="exact"/>
        <w:ind w:left="340" w:hanging="170"/>
        <w:rPr>
          <w:lang w:eastAsia="ja-JP"/>
        </w:rPr>
      </w:pPr>
      <w:r>
        <w:rPr>
          <w:lang w:eastAsia="ja-JP"/>
        </w:rPr>
        <w:t>① 基本認識</w:t>
      </w:r>
      <w:r>
        <w:rPr>
          <w:lang w:eastAsia="ja-JP"/>
        </w:rPr>
        <w:br/>
        <w:t>本構想の実施に当たっては、財源、産業、物流、環境及び安全保障の各論に先立ち、又は並行して、それらを支える法的器及び権利関係の明確化が必要となる。</w:t>
      </w:r>
    </w:p>
    <w:p w14:paraId="14C59AD0" w14:textId="77777777" w:rsidR="006B2BC5" w:rsidRDefault="00000000">
      <w:pPr>
        <w:spacing w:after="60" w:line="360" w:lineRule="exact"/>
        <w:ind w:left="340" w:hanging="170"/>
        <w:rPr>
          <w:lang w:eastAsia="ja-JP"/>
        </w:rPr>
      </w:pPr>
      <w:r>
        <w:rPr>
          <w:lang w:eastAsia="ja-JP"/>
        </w:rPr>
        <w:t>② 法務行政との接続</w:t>
      </w:r>
      <w:r>
        <w:rPr>
          <w:lang w:eastAsia="ja-JP"/>
        </w:rPr>
        <w:br/>
        <w:t>NEASIFを含む国際共同投資レイヤー、メガフロート及び関連施設、分散型計算基盤並びに支援AI及びデータ利用に伴う制度設計は、いずれも契約、法人格、資産管理、権利関係及び本人保護を伴うため、法制度面からの整理を要する。</w:t>
      </w:r>
    </w:p>
    <w:p w14:paraId="7BD0E9FC" w14:textId="77777777" w:rsidR="006B2BC5" w:rsidRDefault="00000000">
      <w:pPr>
        <w:spacing w:after="60" w:line="360" w:lineRule="exact"/>
        <w:ind w:left="340" w:hanging="170"/>
        <w:rPr>
          <w:lang w:eastAsia="ja-JP"/>
        </w:rPr>
      </w:pPr>
      <w:r>
        <w:rPr>
          <w:lang w:eastAsia="ja-JP"/>
        </w:rPr>
        <w:t>③ 政策的意義</w:t>
      </w:r>
      <w:r>
        <w:rPr>
          <w:lang w:eastAsia="ja-JP"/>
        </w:rPr>
        <w:br/>
        <w:t>NEASIFに係る法人・契約・権利義務関係、土地・施設・海域関連資産の法的整理、AI・データ利用に伴う人権配慮並びに外国人高度人材受入れ制度との整合を通じて、構想全体の制度的実装可能性を高める。</w:t>
      </w:r>
    </w:p>
    <w:p w14:paraId="18AD733E" w14:textId="77777777" w:rsidR="006B2BC5" w:rsidRDefault="00000000">
      <w:pPr>
        <w:pStyle w:val="1"/>
        <w:spacing w:after="60" w:line="360" w:lineRule="exact"/>
        <w:rPr>
          <w:lang w:eastAsia="ja-JP"/>
        </w:rPr>
      </w:pPr>
      <w:r>
        <w:rPr>
          <w:lang w:eastAsia="ja-JP"/>
        </w:rPr>
        <w:lastRenderedPageBreak/>
        <w:t>1</w:t>
      </w:r>
      <w:r>
        <w:rPr>
          <w:lang w:eastAsia="ja-JP"/>
        </w:rPr>
        <w:t>．本構想の基本認識</w:t>
      </w:r>
    </w:p>
    <w:p w14:paraId="512ACD64" w14:textId="77777777" w:rsidR="006B2BC5" w:rsidRDefault="00000000">
      <w:pPr>
        <w:spacing w:after="60" w:line="360" w:lineRule="exact"/>
        <w:rPr>
          <w:lang w:eastAsia="ja-JP"/>
        </w:rPr>
      </w:pPr>
      <w:r>
        <w:rPr>
          <w:lang w:eastAsia="ja-JP"/>
        </w:rPr>
        <w:t>本構想は、北日本戦略再設計構想を単なる政策提案にとどめず、制度として実装可能なものとするため、民事法制、法人法制、権利義務関係、人権配慮及び外国人高度人材受入れ制度との整合を含む法制度面からの整理を行おうとするものである。すなわち、本構想の実施に当たっては、財源、産業、物流、環境及び安全保障の各論に先立ち、又は並行して、それらを支える法的器及び権利関係の明確化が必要となる。</w:t>
      </w:r>
    </w:p>
    <w:p w14:paraId="7216542F" w14:textId="77777777" w:rsidR="006B2BC5" w:rsidRDefault="00000000">
      <w:pPr>
        <w:pStyle w:val="1"/>
        <w:spacing w:after="60" w:line="360" w:lineRule="exact"/>
        <w:rPr>
          <w:lang w:eastAsia="ja-JP"/>
        </w:rPr>
      </w:pPr>
      <w:r>
        <w:rPr>
          <w:lang w:eastAsia="ja-JP"/>
        </w:rPr>
        <w:t>2</w:t>
      </w:r>
      <w:r>
        <w:rPr>
          <w:lang w:eastAsia="ja-JP"/>
        </w:rPr>
        <w:t>．</w:t>
      </w:r>
      <w:r>
        <w:rPr>
          <w:lang w:eastAsia="ja-JP"/>
        </w:rPr>
        <w:t>NEASIF</w:t>
      </w:r>
      <w:r>
        <w:rPr>
          <w:lang w:eastAsia="ja-JP"/>
        </w:rPr>
        <w:t>の法的器と契約・法人関係</w:t>
      </w:r>
    </w:p>
    <w:p w14:paraId="5DA88DA0" w14:textId="77777777" w:rsidR="006B2BC5" w:rsidRDefault="00000000">
      <w:pPr>
        <w:spacing w:after="60" w:line="360" w:lineRule="exact"/>
        <w:rPr>
          <w:lang w:eastAsia="ja-JP"/>
        </w:rPr>
      </w:pPr>
      <w:r>
        <w:rPr>
          <w:lang w:eastAsia="ja-JP"/>
        </w:rPr>
        <w:t>本構想において法務行政との接続が重要となる理由は、NEASIFを含む国際共同投資レイヤー、メガフロート及び関連施設、分散型計算基盤並びに支援AI及びデータ利用に伴う制度設計が、いずれも複数主体間の契約、法人格、資産管理、権利関係及び本人保護を伴うためである。このため、本構想は、単なる政策目標の提示ではなく、権利義務構造及び制度運営主体を法的に整理することを前提とする構想として位置づけることが適当である。</w:t>
      </w:r>
    </w:p>
    <w:p w14:paraId="264E2B63" w14:textId="77777777" w:rsidR="006B2BC5" w:rsidRDefault="00000000">
      <w:pPr>
        <w:spacing w:after="60" w:line="360" w:lineRule="exact"/>
        <w:rPr>
          <w:lang w:eastAsia="ja-JP"/>
        </w:rPr>
      </w:pPr>
      <w:r>
        <w:rPr>
          <w:lang w:eastAsia="ja-JP"/>
        </w:rPr>
        <w:t>特に、第四の矢であるNEASIFについては、単なる資金調達手段としてではなく、国際共同投資を支える制度的器として整理する必要がある。すなわち、事業運営主体の法人形態、参加主体間の契約構造、資産管理及びガバナンスの法的基礎並びに権利義務関係を明確にすることが必要である。</w:t>
      </w:r>
    </w:p>
    <w:p w14:paraId="1FE33CE6" w14:textId="77777777" w:rsidR="006B2BC5" w:rsidRDefault="00000000">
      <w:pPr>
        <w:pStyle w:val="1"/>
        <w:spacing w:after="60" w:line="360" w:lineRule="exact"/>
        <w:rPr>
          <w:lang w:eastAsia="ja-JP"/>
        </w:rPr>
      </w:pPr>
      <w:r>
        <w:rPr>
          <w:lang w:eastAsia="ja-JP"/>
        </w:rPr>
        <w:t>3</w:t>
      </w:r>
      <w:r>
        <w:rPr>
          <w:lang w:eastAsia="ja-JP"/>
        </w:rPr>
        <w:t>．土地・施設・海域関連資産の権利関係整理</w:t>
      </w:r>
    </w:p>
    <w:p w14:paraId="6BA4056A" w14:textId="77777777" w:rsidR="006B2BC5" w:rsidRDefault="00000000">
      <w:pPr>
        <w:spacing w:after="60" w:line="360" w:lineRule="exact"/>
        <w:rPr>
          <w:lang w:eastAsia="ja-JP"/>
        </w:rPr>
      </w:pPr>
      <w:r>
        <w:rPr>
          <w:lang w:eastAsia="ja-JP"/>
        </w:rPr>
        <w:t>本構想は、土地、施設、海域関連資産及び関連インフラの整備を伴うことから、用地、施設管理権限、担保、登記その他の権利関係整理を必要とする。特に、メガフロート及びその周辺施設並びに関連基盤については、複数主体が関与し得ることから、資産帰属、利用権限、管理責任及び長期的な処分可能性を含めた法的整理が重要となる。</w:t>
      </w:r>
    </w:p>
    <w:p w14:paraId="0E70A6C0" w14:textId="77777777" w:rsidR="006B2BC5" w:rsidRDefault="00000000">
      <w:pPr>
        <w:pStyle w:val="1"/>
        <w:spacing w:after="60" w:line="360" w:lineRule="exact"/>
        <w:rPr>
          <w:lang w:eastAsia="ja-JP"/>
        </w:rPr>
      </w:pPr>
      <w:r>
        <w:rPr>
          <w:lang w:eastAsia="ja-JP"/>
        </w:rPr>
        <w:t>4</w:t>
      </w:r>
      <w:r>
        <w:rPr>
          <w:lang w:eastAsia="ja-JP"/>
        </w:rPr>
        <w:t>．</w:t>
      </w:r>
      <w:r>
        <w:rPr>
          <w:lang w:eastAsia="ja-JP"/>
        </w:rPr>
        <w:t>AI</w:t>
      </w:r>
      <w:r>
        <w:rPr>
          <w:lang w:eastAsia="ja-JP"/>
        </w:rPr>
        <w:t>・データ利用に伴う人権配慮</w:t>
      </w:r>
    </w:p>
    <w:p w14:paraId="12B9D551" w14:textId="77777777" w:rsidR="006B2BC5" w:rsidRDefault="00000000">
      <w:pPr>
        <w:spacing w:after="60" w:line="360" w:lineRule="exact"/>
        <w:rPr>
          <w:lang w:eastAsia="ja-JP"/>
        </w:rPr>
      </w:pPr>
      <w:r>
        <w:rPr>
          <w:lang w:eastAsia="ja-JP"/>
        </w:rPr>
        <w:t>本構想は、AI及びデータ利用を伴うことから、人権配慮の観点も重要となる。特に、支援パーソナライズ、相談支援補助及び各種データ接続に当たっては、適正利用原則、本人保護、差別又は不当取扱いの防止並びに主体性を侵害しない制度設計が必要である。このため、本構想におけるAI及びデータ利用は、技術的可能性のみならず、人権配慮及び権利保護の観点から整理することが適当である。</w:t>
      </w:r>
    </w:p>
    <w:p w14:paraId="7E39356D" w14:textId="77777777" w:rsidR="006B2BC5" w:rsidRDefault="00000000">
      <w:pPr>
        <w:pStyle w:val="1"/>
        <w:spacing w:after="60" w:line="360" w:lineRule="exact"/>
        <w:rPr>
          <w:lang w:eastAsia="ja-JP"/>
        </w:rPr>
      </w:pPr>
      <w:r>
        <w:rPr>
          <w:lang w:eastAsia="ja-JP"/>
        </w:rPr>
        <w:lastRenderedPageBreak/>
        <w:t>5</w:t>
      </w:r>
      <w:r>
        <w:rPr>
          <w:lang w:eastAsia="ja-JP"/>
        </w:rPr>
        <w:t>．外国人高度人材受入れ制度との整合</w:t>
      </w:r>
    </w:p>
    <w:p w14:paraId="73C38EDB" w14:textId="77777777" w:rsidR="006B2BC5" w:rsidRDefault="00000000">
      <w:pPr>
        <w:spacing w:after="60" w:line="360" w:lineRule="exact"/>
        <w:rPr>
          <w:lang w:eastAsia="ja-JP"/>
        </w:rPr>
      </w:pPr>
      <w:r>
        <w:rPr>
          <w:lang w:eastAsia="ja-JP"/>
        </w:rPr>
        <w:t>本構想は、将来的に海外研究者、技術者その他の高度人材受入れとも接続し得る。大学、研究機関、産業基盤及び国際共同投資を組み合わせる以上、地方圏における外国人高度人材の受入れ及び定着を支える制度との整合も重要となる。この点は、文部科学省、経済産業省及び外務省との接続を持ちながら、制度面では法務行政との整合を必要とする。</w:t>
      </w:r>
    </w:p>
    <w:p w14:paraId="304C55EE" w14:textId="77777777" w:rsidR="006B2BC5" w:rsidRDefault="00000000">
      <w:pPr>
        <w:pStyle w:val="1"/>
        <w:spacing w:after="60" w:line="360" w:lineRule="exact"/>
        <w:rPr>
          <w:lang w:eastAsia="ja-JP"/>
        </w:rPr>
      </w:pPr>
      <w:r>
        <w:rPr>
          <w:lang w:eastAsia="ja-JP"/>
        </w:rPr>
        <w:t>6</w:t>
      </w:r>
      <w:r>
        <w:rPr>
          <w:lang w:eastAsia="ja-JP"/>
        </w:rPr>
        <w:t>．関係省庁との接続</w:t>
      </w:r>
    </w:p>
    <w:p w14:paraId="7B89545D" w14:textId="77777777" w:rsidR="006B2BC5" w:rsidRDefault="00000000">
      <w:pPr>
        <w:spacing w:after="60" w:line="360" w:lineRule="exact"/>
        <w:rPr>
          <w:lang w:eastAsia="ja-JP"/>
        </w:rPr>
      </w:pPr>
      <w:r>
        <w:rPr>
          <w:lang w:eastAsia="ja-JP"/>
        </w:rPr>
        <w:t>本構想は、法務省単独で完結するものではなく、内閣法制局による法令審査、外務省による国際枠組み整理、財務省による制度原資整理、デジタル庁及び総務省によるデータ・行政基盤整理等と接続して進める必要がある。法務省向けには、これら各省庁の制度設計を、民事法制、法人法制、権利関係及び人権配慮の観点から法的に安定化させる役割が重要となる。</w:t>
      </w:r>
    </w:p>
    <w:p w14:paraId="5E7669DF" w14:textId="77777777" w:rsidR="006B2BC5" w:rsidRDefault="00000000">
      <w:pPr>
        <w:pStyle w:val="1"/>
        <w:spacing w:after="60" w:line="360" w:lineRule="exact"/>
        <w:rPr>
          <w:lang w:eastAsia="ja-JP"/>
        </w:rPr>
      </w:pPr>
      <w:r>
        <w:rPr>
          <w:lang w:eastAsia="ja-JP"/>
        </w:rPr>
        <w:t>7</w:t>
      </w:r>
      <w:r>
        <w:rPr>
          <w:lang w:eastAsia="ja-JP"/>
        </w:rPr>
        <w:t>．結論</w:t>
      </w:r>
    </w:p>
    <w:p w14:paraId="7FC8740A" w14:textId="77777777" w:rsidR="006B2BC5" w:rsidRDefault="00000000">
      <w:pPr>
        <w:spacing w:after="60" w:line="360" w:lineRule="exact"/>
        <w:rPr>
          <w:lang w:eastAsia="ja-JP"/>
        </w:rPr>
      </w:pPr>
      <w:r>
        <w:rPr>
          <w:lang w:eastAsia="ja-JP"/>
        </w:rPr>
        <w:t>以上のとおり、本構想は、単なる政策構想又は大型事業計画を主目的とするものではなく、NEASIFの法的器、土地・施設・海域関連資産の権利関係、契約及び事業運営の法的安定性、人権配慮並びに外国人高度人材受入れ制度との整合を通じて、制度として実装可能な形に整理しようとするものである。法務省向け説明においては、NEASIFに係る法人・契約・権利義務関係、土地・施設・海域関連資産の法的整理、AI・データ利用に伴う人権配慮並びに外国人高度人材受入れ制度との整合を中心に整理することが適当である。</w:t>
      </w:r>
    </w:p>
    <w:p w14:paraId="48189047" w14:textId="77777777" w:rsidR="006B2BC5" w:rsidRDefault="00000000">
      <w:pPr>
        <w:spacing w:before="120" w:line="240" w:lineRule="exact"/>
        <w:rPr>
          <w:lang w:eastAsia="ja-JP"/>
        </w:rPr>
      </w:pPr>
      <w:r>
        <w:rPr>
          <w:sz w:val="17"/>
          <w:lang w:eastAsia="ja-JP"/>
        </w:rPr>
        <w:t>注）本資料は説明用整理案であり、記載内容については、今後、民事法制、法人法制、権利義務関係及び既存施策との整合性を踏まえてさらに精査する前提である。</w:t>
      </w:r>
    </w:p>
    <w:sectPr w:rsidR="006B2BC5" w:rsidSect="00034616">
      <w:pgSz w:w="12240" w:h="15840"/>
      <w:pgMar w:top="1417" w:right="1531" w:bottom="1417" w:left="153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1248613192">
    <w:abstractNumId w:val="8"/>
  </w:num>
  <w:num w:numId="2" w16cid:durableId="2020082657">
    <w:abstractNumId w:val="6"/>
  </w:num>
  <w:num w:numId="3" w16cid:durableId="826557870">
    <w:abstractNumId w:val="5"/>
  </w:num>
  <w:num w:numId="4" w16cid:durableId="1122041953">
    <w:abstractNumId w:val="4"/>
  </w:num>
  <w:num w:numId="5" w16cid:durableId="1361124779">
    <w:abstractNumId w:val="7"/>
  </w:num>
  <w:num w:numId="6" w16cid:durableId="807630769">
    <w:abstractNumId w:val="3"/>
  </w:num>
  <w:num w:numId="7" w16cid:durableId="986327243">
    <w:abstractNumId w:val="2"/>
  </w:num>
  <w:num w:numId="8" w16cid:durableId="371657198">
    <w:abstractNumId w:val="1"/>
  </w:num>
  <w:num w:numId="9" w16cid:durableId="7927932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6B2BC5"/>
    <w:rsid w:val="00AA1D8D"/>
    <w:rsid w:val="00B47730"/>
    <w:rsid w:val="00BE2B2A"/>
    <w:rsid w:val="00CB0664"/>
    <w:rsid w:val="00FC693F"/>
    <w:rsid w:val="00FE0C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textbox inset="5.85pt,.7pt,5.85pt,.7pt"/>
    </o:shapedefaults>
    <o:shapelayout v:ext="edit">
      <o:idmap v:ext="edit" data="1"/>
    </o:shapelayout>
  </w:shapeDefaults>
  <w:decimalSymbol w:val="."/>
  <w:listSeparator w:val=","/>
  <w14:docId w14:val="20BFF740"/>
  <w14:defaultImageDpi w14:val="300"/>
  <w15:docId w15:val="{ED130181-9240-4B54-9413-1B6D09570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rPr>
      <w:rFonts w:ascii="游明朝" w:eastAsia="游明朝" w:hAnsi="游明朝"/>
      <w:sz w:val="21"/>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6"/>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3"/>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ヘッダー (文字)"/>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フッター (文字)"/>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見出し 1 (文字)"/>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見出し 2 (文字)"/>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見出し 3 (文字)"/>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17365D" w:themeColor="text2" w:themeShade="BF"/>
      <w:spacing w:val="5"/>
      <w:kern w:val="28"/>
      <w:sz w:val="32"/>
      <w:szCs w:val="52"/>
    </w:rPr>
  </w:style>
  <w:style w:type="character" w:customStyle="1" w:styleId="ab">
    <w:name w:val="表題 (文字)"/>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b/>
      <w:i/>
      <w:iCs/>
      <w:color w:val="4F81BD" w:themeColor="accent1"/>
      <w:spacing w:val="15"/>
      <w:sz w:val="24"/>
      <w:szCs w:val="24"/>
    </w:rPr>
  </w:style>
  <w:style w:type="character" w:customStyle="1" w:styleId="ad">
    <w:name w:val="副題 (文字)"/>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本文 (文字)"/>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本文 2 (文字)"/>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本文 3 (文字)"/>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マクロ文字列 (文字)"/>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用文 (文字)"/>
    <w:basedOn w:val="a2"/>
    <w:link w:val="af5"/>
    <w:uiPriority w:val="29"/>
    <w:rsid w:val="00FC693F"/>
    <w:rPr>
      <w:i/>
      <w:iCs/>
      <w:color w:val="000000" w:themeColor="text1"/>
    </w:rPr>
  </w:style>
  <w:style w:type="character" w:customStyle="1" w:styleId="40">
    <w:name w:val="見出し 4 (文字)"/>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見出し 5 (文字)"/>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見出し 6 (文字)"/>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見出し 7 (文字)"/>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見出し 8 (文字)"/>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見出し 9 (文字)"/>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27">
    <w:name w:val="Intense Quote"/>
    <w:basedOn w:val="a1"/>
    <w:next w:val="a1"/>
    <w:link w:val="28"/>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28">
    <w:name w:val="引用文 2 (文字)"/>
    <w:basedOn w:val="a2"/>
    <w:link w:val="27"/>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29">
    <w:name w:val="Intense Emphasis"/>
    <w:basedOn w:val="a2"/>
    <w:uiPriority w:val="21"/>
    <w:qFormat/>
    <w:rsid w:val="00FC693F"/>
    <w:rPr>
      <w:b/>
      <w:bCs/>
      <w:i/>
      <w:iCs/>
      <w:color w:val="4F81BD" w:themeColor="accent1"/>
    </w:rPr>
  </w:style>
  <w:style w:type="character" w:styleId="afb">
    <w:name w:val="Subtle Reference"/>
    <w:basedOn w:val="a2"/>
    <w:uiPriority w:val="31"/>
    <w:qFormat/>
    <w:rsid w:val="00FC693F"/>
    <w:rPr>
      <w:smallCaps/>
      <w:color w:val="C0504D" w:themeColor="accent2"/>
      <w:u w:val="single"/>
    </w:rPr>
  </w:style>
  <w:style w:type="character" w:styleId="2a">
    <w:name w:val="Intense Reference"/>
    <w:basedOn w:val="a2"/>
    <w:uiPriority w:val="32"/>
    <w:qFormat/>
    <w:rsid w:val="00FC693F"/>
    <w:rPr>
      <w:b/>
      <w:bCs/>
      <w:smallCaps/>
      <w:color w:val="C0504D" w:themeColor="accent2"/>
      <w:spacing w:val="5"/>
      <w:u w:val="single"/>
    </w:rPr>
  </w:style>
  <w:style w:type="character" w:styleId="afc">
    <w:name w:val="Book Title"/>
    <w:basedOn w:val="a2"/>
    <w:uiPriority w:val="33"/>
    <w:qFormat/>
    <w:rsid w:val="00FC693F"/>
    <w:rPr>
      <w:b/>
      <w:bCs/>
      <w:smallCaps/>
      <w:spacing w:val="5"/>
    </w:rPr>
  </w:style>
  <w:style w:type="paragraph" w:styleId="afd">
    <w:name w:val="TOC Heading"/>
    <w:basedOn w:val="1"/>
    <w:next w:val="a1"/>
    <w:uiPriority w:val="39"/>
    <w:semiHidden/>
    <w:unhideWhenUsed/>
    <w:qFormat/>
    <w:rsid w:val="00FC693F"/>
    <w:pPr>
      <w:outlineLvl w:val="9"/>
    </w:pPr>
  </w:style>
  <w:style w:type="table" w:styleId="afe">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2">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3">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4">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5">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6">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7">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b">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d">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e">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f">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f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f1">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7">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38">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39">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a">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3b">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3c">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d">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42">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43">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44">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45">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6">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47">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1">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2">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3">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4">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5">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6">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7">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1">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2">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3">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64">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65">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66">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67">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1">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2">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3">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4">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82">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83">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4">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5">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6">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7">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92">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93">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0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0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0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0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0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0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1">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1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13">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4">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5">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6">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1">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22">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2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4">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25">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26">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31">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2">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33">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5">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36">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1">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42">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mallHeader">
    <w:name w:val="SmallHeader"/>
    <w:basedOn w:val="a1"/>
    <w:rsid w:val="00BE2B2A"/>
    <w:pPr>
      <w:spacing w:after="160" w:line="288" w:lineRule="auto"/>
      <w:jc w:val="right"/>
    </w:pPr>
    <w:rPr>
      <w:rFonts w:ascii="ＭＳ 明朝" w:eastAsia="ＭＳ 明朝" w:hAnsi="ＭＳ 明朝"/>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356</Words>
  <Characters>2033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葬祭 天龍</cp:lastModifiedBy>
  <cp:revision>2</cp:revision>
  <dcterms:created xsi:type="dcterms:W3CDTF">2013-12-23T23:15:00Z</dcterms:created>
  <dcterms:modified xsi:type="dcterms:W3CDTF">2026-04-13T10:59:00Z</dcterms:modified>
  <cp:category/>
</cp:coreProperties>
</file>