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747CF" w14:textId="77777777" w:rsidR="003820BB" w:rsidRDefault="003820BB" w:rsidP="003820BB">
      <w:pPr>
        <w:pStyle w:val="SmallHeader"/>
        <w:jc w:val="center"/>
        <w:rPr>
          <w:lang w:eastAsia="ja-JP"/>
        </w:rPr>
      </w:pPr>
    </w:p>
    <w:p w14:paraId="4C4A8300" w14:textId="77777777" w:rsidR="003820BB" w:rsidRDefault="003820BB" w:rsidP="003820BB">
      <w:pPr>
        <w:pStyle w:val="SmallHeader"/>
        <w:rPr>
          <w:lang w:eastAsia="ja-JP"/>
        </w:rPr>
      </w:pPr>
    </w:p>
    <w:p w14:paraId="619076AF" w14:textId="77777777" w:rsidR="003820BB" w:rsidRDefault="003820BB" w:rsidP="003820BB">
      <w:pPr>
        <w:pStyle w:val="SmallHeader"/>
        <w:rPr>
          <w:lang w:eastAsia="ja-JP"/>
        </w:rPr>
      </w:pPr>
    </w:p>
    <w:p w14:paraId="7E2606B0" w14:textId="77777777" w:rsidR="003820BB" w:rsidRDefault="003820BB" w:rsidP="003820BB">
      <w:pPr>
        <w:pStyle w:val="SmallHeader"/>
        <w:rPr>
          <w:lang w:eastAsia="ja-JP"/>
        </w:rPr>
      </w:pPr>
    </w:p>
    <w:p w14:paraId="02509751" w14:textId="77777777" w:rsidR="003820BB" w:rsidRPr="003820BB" w:rsidRDefault="003820BB" w:rsidP="003820BB">
      <w:pPr>
        <w:pStyle w:val="SmallHeader"/>
        <w:jc w:val="center"/>
        <w:rPr>
          <w:rFonts w:hint="eastAsia"/>
          <w:sz w:val="36"/>
          <w:szCs w:val="48"/>
          <w:lang w:eastAsia="ja-JP"/>
        </w:rPr>
      </w:pPr>
      <w:r w:rsidRPr="003820BB">
        <w:rPr>
          <w:rFonts w:hint="eastAsia"/>
          <w:sz w:val="36"/>
          <w:szCs w:val="48"/>
          <w:lang w:eastAsia="ja-JP"/>
        </w:rPr>
        <w:t>北日本戦略再設計構想</w:t>
      </w:r>
    </w:p>
    <w:p w14:paraId="68C9B3B3" w14:textId="77777777" w:rsidR="003820BB" w:rsidRPr="003820BB" w:rsidRDefault="003820BB" w:rsidP="003820BB">
      <w:pPr>
        <w:pStyle w:val="SmallHeader"/>
        <w:jc w:val="center"/>
        <w:rPr>
          <w:rFonts w:hint="eastAsia"/>
          <w:sz w:val="36"/>
          <w:szCs w:val="48"/>
          <w:lang w:eastAsia="ja-JP"/>
        </w:rPr>
      </w:pPr>
      <w:r w:rsidRPr="003820BB">
        <w:rPr>
          <w:rFonts w:hint="eastAsia"/>
          <w:sz w:val="36"/>
          <w:szCs w:val="48"/>
          <w:lang w:eastAsia="ja-JP"/>
        </w:rPr>
        <w:t>【内閣法制局向け説明資料】</w:t>
      </w:r>
    </w:p>
    <w:p w14:paraId="0C927C00" w14:textId="1CFFB97E" w:rsidR="003820BB" w:rsidRPr="007C7587" w:rsidRDefault="003820BB" w:rsidP="003820BB">
      <w:pPr>
        <w:pStyle w:val="SmallHeader"/>
        <w:jc w:val="center"/>
        <w:rPr>
          <w:sz w:val="36"/>
          <w:szCs w:val="48"/>
          <w:lang w:eastAsia="ja-JP"/>
        </w:rPr>
      </w:pPr>
      <w:r w:rsidRPr="003820BB">
        <w:rPr>
          <w:rFonts w:hint="eastAsia"/>
          <w:sz w:val="36"/>
          <w:szCs w:val="48"/>
          <w:lang w:eastAsia="ja-JP"/>
        </w:rPr>
        <w:t>制度化論点整理・法体系整合・法案骨子に関する説明資料</w:t>
      </w:r>
    </w:p>
    <w:p w14:paraId="6AABCCF6" w14:textId="77777777" w:rsidR="003820BB" w:rsidRDefault="003820BB" w:rsidP="003820BB">
      <w:pPr>
        <w:pStyle w:val="SmallHeader"/>
        <w:jc w:val="center"/>
        <w:rPr>
          <w:lang w:eastAsia="ja-JP"/>
        </w:rPr>
      </w:pPr>
    </w:p>
    <w:p w14:paraId="5BE2E5B6" w14:textId="77777777" w:rsidR="003820BB" w:rsidRDefault="003820BB" w:rsidP="003820BB">
      <w:pPr>
        <w:pStyle w:val="SmallHeader"/>
        <w:jc w:val="center"/>
        <w:rPr>
          <w:lang w:eastAsia="ja-JP"/>
        </w:rPr>
      </w:pPr>
    </w:p>
    <w:p w14:paraId="2A9369FC" w14:textId="77777777" w:rsidR="003820BB" w:rsidRDefault="003820BB" w:rsidP="003820BB">
      <w:pPr>
        <w:pStyle w:val="SmallHeader"/>
        <w:jc w:val="center"/>
        <w:rPr>
          <w:lang w:eastAsia="ja-JP"/>
        </w:rPr>
      </w:pPr>
    </w:p>
    <w:p w14:paraId="7455AD7A" w14:textId="77777777" w:rsidR="003820BB" w:rsidRDefault="003820BB" w:rsidP="003820BB">
      <w:pPr>
        <w:pStyle w:val="SmallHeader"/>
        <w:jc w:val="center"/>
        <w:rPr>
          <w:rFonts w:hint="eastAsia"/>
          <w:lang w:eastAsia="ja-JP"/>
        </w:rPr>
      </w:pPr>
    </w:p>
    <w:p w14:paraId="15ED25B9" w14:textId="77777777" w:rsidR="003820BB" w:rsidRPr="007C7587" w:rsidRDefault="003820BB" w:rsidP="003820BB">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45CCDC2F" w14:textId="77777777" w:rsidR="003820BB" w:rsidRPr="007C7587" w:rsidRDefault="003820BB" w:rsidP="003820BB">
      <w:pPr>
        <w:pStyle w:val="SmallHeader"/>
        <w:jc w:val="center"/>
        <w:rPr>
          <w:sz w:val="22"/>
          <w:szCs w:val="32"/>
          <w:lang w:eastAsia="ja-JP"/>
        </w:rPr>
      </w:pPr>
      <w:r w:rsidRPr="007C7587">
        <w:rPr>
          <w:rFonts w:hint="eastAsia"/>
          <w:sz w:val="22"/>
          <w:szCs w:val="32"/>
          <w:lang w:eastAsia="ja-JP"/>
        </w:rPr>
        <w:t>提出日：令和○年○月○日</w:t>
      </w:r>
    </w:p>
    <w:p w14:paraId="7DE98701" w14:textId="77777777" w:rsidR="003820BB" w:rsidRDefault="003820BB">
      <w:pPr>
        <w:spacing w:after="20"/>
        <w:jc w:val="center"/>
        <w:rPr>
          <w:b/>
          <w:sz w:val="12"/>
          <w:szCs w:val="8"/>
          <w:lang w:eastAsia="ja-JP"/>
        </w:rPr>
      </w:pPr>
    </w:p>
    <w:p w14:paraId="34354172" w14:textId="77777777" w:rsidR="003820BB" w:rsidRDefault="003820BB">
      <w:pPr>
        <w:spacing w:after="20"/>
        <w:jc w:val="center"/>
        <w:rPr>
          <w:b/>
          <w:sz w:val="12"/>
          <w:szCs w:val="8"/>
          <w:lang w:eastAsia="ja-JP"/>
        </w:rPr>
      </w:pPr>
    </w:p>
    <w:p w14:paraId="30A594AC" w14:textId="77777777" w:rsidR="003820BB" w:rsidRPr="003820BB" w:rsidRDefault="003820BB">
      <w:pPr>
        <w:spacing w:after="20"/>
        <w:jc w:val="center"/>
        <w:rPr>
          <w:rFonts w:hint="eastAsia"/>
          <w:b/>
          <w:sz w:val="12"/>
          <w:szCs w:val="8"/>
          <w:lang w:eastAsia="ja-JP"/>
        </w:rPr>
      </w:pPr>
    </w:p>
    <w:p w14:paraId="3D192A47" w14:textId="77777777" w:rsidR="003820BB" w:rsidRDefault="003820BB">
      <w:pPr>
        <w:spacing w:after="20"/>
        <w:jc w:val="center"/>
        <w:rPr>
          <w:b/>
          <w:sz w:val="26"/>
          <w:lang w:eastAsia="ja-JP"/>
        </w:rPr>
      </w:pPr>
    </w:p>
    <w:p w14:paraId="4ED7BFDD" w14:textId="77777777" w:rsidR="003820BB" w:rsidRDefault="003820BB">
      <w:pPr>
        <w:spacing w:after="20"/>
        <w:jc w:val="center"/>
        <w:rPr>
          <w:b/>
          <w:sz w:val="26"/>
          <w:lang w:eastAsia="ja-JP"/>
        </w:rPr>
      </w:pPr>
    </w:p>
    <w:p w14:paraId="7EFC80C9" w14:textId="77777777" w:rsidR="003820BB" w:rsidRDefault="003820BB">
      <w:pPr>
        <w:spacing w:after="20"/>
        <w:jc w:val="center"/>
        <w:rPr>
          <w:b/>
          <w:sz w:val="26"/>
          <w:lang w:eastAsia="ja-JP"/>
        </w:rPr>
      </w:pPr>
    </w:p>
    <w:p w14:paraId="7BCFE56B" w14:textId="77777777" w:rsidR="003820BB" w:rsidRDefault="003820BB">
      <w:pPr>
        <w:spacing w:after="20"/>
        <w:jc w:val="center"/>
        <w:rPr>
          <w:b/>
          <w:sz w:val="26"/>
          <w:lang w:eastAsia="ja-JP"/>
        </w:rPr>
      </w:pPr>
    </w:p>
    <w:p w14:paraId="503DE83C" w14:textId="77777777" w:rsidR="003820BB" w:rsidRDefault="003820BB">
      <w:pPr>
        <w:spacing w:after="20"/>
        <w:jc w:val="center"/>
        <w:rPr>
          <w:b/>
          <w:sz w:val="26"/>
          <w:lang w:eastAsia="ja-JP"/>
        </w:rPr>
      </w:pPr>
    </w:p>
    <w:p w14:paraId="7C630793" w14:textId="77777777" w:rsidR="003820BB" w:rsidRDefault="003820BB">
      <w:pPr>
        <w:spacing w:after="20"/>
        <w:jc w:val="center"/>
        <w:rPr>
          <w:b/>
          <w:sz w:val="26"/>
          <w:lang w:eastAsia="ja-JP"/>
        </w:rPr>
      </w:pPr>
    </w:p>
    <w:p w14:paraId="273528AE" w14:textId="77777777" w:rsidR="003820BB" w:rsidRDefault="003820BB">
      <w:pPr>
        <w:spacing w:after="20"/>
        <w:jc w:val="center"/>
        <w:rPr>
          <w:b/>
          <w:sz w:val="26"/>
          <w:lang w:eastAsia="ja-JP"/>
        </w:rPr>
      </w:pPr>
    </w:p>
    <w:p w14:paraId="1C945D31" w14:textId="77777777" w:rsidR="003820BB" w:rsidRDefault="003820BB">
      <w:pPr>
        <w:spacing w:after="20"/>
        <w:jc w:val="center"/>
        <w:rPr>
          <w:b/>
          <w:sz w:val="26"/>
          <w:lang w:eastAsia="ja-JP"/>
        </w:rPr>
      </w:pPr>
    </w:p>
    <w:p w14:paraId="4B7D078B" w14:textId="77777777" w:rsidR="003820BB" w:rsidRDefault="003820BB">
      <w:pPr>
        <w:spacing w:after="20"/>
        <w:jc w:val="center"/>
        <w:rPr>
          <w:b/>
          <w:sz w:val="26"/>
          <w:lang w:eastAsia="ja-JP"/>
        </w:rPr>
      </w:pPr>
    </w:p>
    <w:p w14:paraId="4581DE42" w14:textId="77777777" w:rsidR="003820BB" w:rsidRDefault="003820BB">
      <w:pPr>
        <w:spacing w:after="20"/>
        <w:jc w:val="center"/>
        <w:rPr>
          <w:b/>
          <w:sz w:val="26"/>
          <w:lang w:eastAsia="ja-JP"/>
        </w:rPr>
      </w:pPr>
    </w:p>
    <w:p w14:paraId="5ED5C3CC" w14:textId="77777777" w:rsidR="003820BB" w:rsidRDefault="003820BB">
      <w:pPr>
        <w:spacing w:after="20"/>
        <w:jc w:val="center"/>
        <w:rPr>
          <w:rFonts w:hint="eastAsia"/>
          <w:b/>
          <w:sz w:val="26"/>
          <w:lang w:eastAsia="ja-JP"/>
        </w:rPr>
      </w:pPr>
    </w:p>
    <w:p w14:paraId="68237D0D" w14:textId="77777777" w:rsidR="003820BB" w:rsidRDefault="003820BB">
      <w:pPr>
        <w:spacing w:after="20"/>
        <w:jc w:val="center"/>
        <w:rPr>
          <w:b/>
          <w:sz w:val="26"/>
          <w:lang w:eastAsia="ja-JP"/>
        </w:rPr>
      </w:pPr>
    </w:p>
    <w:p w14:paraId="61DB82D4" w14:textId="77777777" w:rsidR="003820BB" w:rsidRDefault="003820BB">
      <w:pPr>
        <w:spacing w:after="20"/>
        <w:jc w:val="center"/>
        <w:rPr>
          <w:b/>
          <w:sz w:val="26"/>
          <w:lang w:eastAsia="ja-JP"/>
        </w:rPr>
      </w:pPr>
    </w:p>
    <w:p w14:paraId="7E54E244" w14:textId="77777777" w:rsidR="003820BB" w:rsidRPr="003820BB" w:rsidRDefault="003820BB">
      <w:pPr>
        <w:spacing w:after="20"/>
        <w:jc w:val="center"/>
        <w:rPr>
          <w:rFonts w:hint="eastAsia"/>
          <w:b/>
          <w:sz w:val="26"/>
          <w:lang w:eastAsia="ja-JP"/>
        </w:rPr>
      </w:pPr>
    </w:p>
    <w:p w14:paraId="6209089C" w14:textId="77777777" w:rsidR="003820BB" w:rsidRDefault="003820BB">
      <w:pPr>
        <w:spacing w:after="20"/>
        <w:jc w:val="center"/>
        <w:rPr>
          <w:b/>
          <w:sz w:val="26"/>
          <w:lang w:eastAsia="ja-JP"/>
        </w:rPr>
      </w:pPr>
    </w:p>
    <w:p w14:paraId="7512B6AF" w14:textId="77777777" w:rsidR="003820BB" w:rsidRDefault="003820BB">
      <w:pPr>
        <w:spacing w:after="20"/>
        <w:jc w:val="center"/>
        <w:rPr>
          <w:b/>
          <w:sz w:val="26"/>
          <w:lang w:eastAsia="ja-JP"/>
        </w:rPr>
      </w:pPr>
    </w:p>
    <w:p w14:paraId="4DE721F5" w14:textId="77777777" w:rsidR="003820BB" w:rsidRDefault="003820BB">
      <w:pPr>
        <w:spacing w:after="20"/>
        <w:jc w:val="center"/>
        <w:rPr>
          <w:b/>
          <w:sz w:val="26"/>
          <w:lang w:eastAsia="ja-JP"/>
        </w:rPr>
      </w:pPr>
    </w:p>
    <w:p w14:paraId="45643DA1" w14:textId="77777777" w:rsidR="003820BB" w:rsidRDefault="003820BB">
      <w:pPr>
        <w:spacing w:after="20"/>
        <w:jc w:val="center"/>
        <w:rPr>
          <w:b/>
          <w:sz w:val="26"/>
          <w:lang w:eastAsia="ja-JP"/>
        </w:rPr>
      </w:pPr>
    </w:p>
    <w:p w14:paraId="5A5585A6" w14:textId="77777777" w:rsidR="003820BB" w:rsidRDefault="003820BB">
      <w:pPr>
        <w:spacing w:after="20"/>
        <w:jc w:val="center"/>
        <w:rPr>
          <w:rFonts w:hint="eastAsia"/>
          <w:b/>
          <w:sz w:val="26"/>
          <w:lang w:eastAsia="ja-JP"/>
        </w:rPr>
      </w:pPr>
    </w:p>
    <w:p w14:paraId="46F04669" w14:textId="7AED3015" w:rsidR="001D1F06" w:rsidRDefault="00000000" w:rsidP="003820BB">
      <w:pPr>
        <w:spacing w:after="20"/>
        <w:jc w:val="right"/>
        <w:rPr>
          <w:b/>
          <w:sz w:val="22"/>
          <w:szCs w:val="20"/>
          <w:lang w:eastAsia="ja-JP"/>
        </w:rPr>
      </w:pPr>
      <w:r w:rsidRPr="003820BB">
        <w:rPr>
          <w:b/>
          <w:sz w:val="18"/>
          <w:szCs w:val="14"/>
          <w:lang w:eastAsia="ja-JP"/>
        </w:rPr>
        <w:lastRenderedPageBreak/>
        <w:t>内閣法制局向け／説明資料（案）</w:t>
      </w:r>
    </w:p>
    <w:p w14:paraId="31038C15" w14:textId="77777777" w:rsidR="003820BB" w:rsidRDefault="003820BB" w:rsidP="003820BB">
      <w:pPr>
        <w:spacing w:after="20"/>
        <w:jc w:val="right"/>
        <w:rPr>
          <w:rFonts w:hint="eastAsia"/>
          <w:lang w:eastAsia="ja-JP"/>
        </w:rPr>
      </w:pPr>
    </w:p>
    <w:p w14:paraId="0AC9F23B" w14:textId="77777777" w:rsidR="001D1F06" w:rsidRDefault="00000000">
      <w:pPr>
        <w:spacing w:after="20"/>
        <w:jc w:val="center"/>
        <w:rPr>
          <w:lang w:eastAsia="ja-JP"/>
        </w:rPr>
      </w:pPr>
      <w:r>
        <w:rPr>
          <w:b/>
          <w:sz w:val="32"/>
          <w:lang w:eastAsia="ja-JP"/>
        </w:rPr>
        <w:t>北日本戦略再設計構想</w:t>
      </w:r>
    </w:p>
    <w:p w14:paraId="005E81E0" w14:textId="77777777" w:rsidR="001D1F06" w:rsidRPr="003820BB" w:rsidRDefault="00000000">
      <w:pPr>
        <w:spacing w:after="20"/>
        <w:jc w:val="center"/>
        <w:rPr>
          <w:sz w:val="22"/>
          <w:szCs w:val="24"/>
          <w:lang w:eastAsia="ja-JP"/>
        </w:rPr>
      </w:pPr>
      <w:r w:rsidRPr="003820BB">
        <w:rPr>
          <w:sz w:val="24"/>
          <w:szCs w:val="24"/>
          <w:lang w:eastAsia="ja-JP"/>
        </w:rPr>
        <w:t>特別措置法の要否・既存法令との整合・法技術上の論点整理に関する説明資料</w:t>
      </w:r>
    </w:p>
    <w:p w14:paraId="44A929F1" w14:textId="77777777" w:rsidR="001D1F06" w:rsidRDefault="00000000">
      <w:pPr>
        <w:spacing w:after="200"/>
        <w:jc w:val="center"/>
        <w:rPr>
          <w:lang w:eastAsia="ja-JP"/>
        </w:rPr>
      </w:pPr>
      <w:r w:rsidRPr="003820BB">
        <w:rPr>
          <w:i/>
          <w:sz w:val="24"/>
          <w:szCs w:val="24"/>
          <w:lang w:eastAsia="ja-JP"/>
        </w:rPr>
        <w:t>（内閣法制局向け）</w:t>
      </w:r>
    </w:p>
    <w:p w14:paraId="35221649" w14:textId="77777777" w:rsidR="003820BB" w:rsidRPr="003820BB" w:rsidRDefault="003820BB" w:rsidP="003820BB">
      <w:pPr>
        <w:keepNext/>
        <w:keepLines/>
        <w:spacing w:before="120" w:after="40" w:line="288" w:lineRule="auto"/>
        <w:outlineLvl w:val="1"/>
        <w:rPr>
          <w:rFonts w:asciiTheme="majorHAnsi" w:eastAsiaTheme="majorEastAsia" w:hAnsiTheme="majorHAnsi" w:cstheme="majorBidi"/>
          <w:b/>
          <w:bCs/>
          <w:color w:val="4F81BD" w:themeColor="accent1"/>
          <w:sz w:val="23"/>
          <w:szCs w:val="26"/>
          <w:lang w:eastAsia="ja-JP"/>
        </w:rPr>
      </w:pPr>
      <w:r w:rsidRPr="003820BB">
        <w:rPr>
          <w:rFonts w:asciiTheme="majorHAnsi" w:eastAsiaTheme="majorEastAsia" w:hAnsiTheme="majorHAnsi" w:cstheme="majorBidi"/>
          <w:b/>
          <w:bCs/>
          <w:color w:val="4F81BD" w:themeColor="accent1"/>
          <w:sz w:val="23"/>
          <w:szCs w:val="26"/>
          <w:lang w:eastAsia="ja-JP"/>
        </w:rPr>
        <w:t>作成目的</w:t>
      </w:r>
    </w:p>
    <w:p w14:paraId="28BAEBE7" w14:textId="2B26267A" w:rsidR="001D1F06" w:rsidRDefault="00000000">
      <w:pPr>
        <w:spacing w:after="80"/>
        <w:rPr>
          <w:lang w:eastAsia="ja-JP"/>
        </w:rPr>
      </w:pPr>
      <w:r>
        <w:rPr>
          <w:lang w:eastAsia="ja-JP"/>
        </w:rPr>
        <w:t>本資料は、北日本戦略再設計構想について、制度化段階における特別措置法の要否、既存法令との整合、条文構造、委任範囲その他の法技術上の主要論点を整理し、内閣法制局向け説明用資料として取りまとめるものである。</w:t>
      </w:r>
    </w:p>
    <w:p w14:paraId="3DCC3822" w14:textId="77777777" w:rsidR="003820BB" w:rsidRPr="003820BB" w:rsidRDefault="003820BB" w:rsidP="003820BB">
      <w:pPr>
        <w:keepNext/>
        <w:keepLines/>
        <w:spacing w:before="120" w:after="40" w:line="288" w:lineRule="auto"/>
        <w:outlineLvl w:val="1"/>
        <w:rPr>
          <w:rFonts w:asciiTheme="majorHAnsi" w:eastAsiaTheme="majorEastAsia" w:hAnsiTheme="majorHAnsi" w:cstheme="majorBidi"/>
          <w:b/>
          <w:bCs/>
          <w:color w:val="4F81BD" w:themeColor="accent1"/>
          <w:sz w:val="23"/>
          <w:szCs w:val="26"/>
          <w:lang w:eastAsia="ja-JP"/>
        </w:rPr>
      </w:pPr>
      <w:r w:rsidRPr="003820BB">
        <w:rPr>
          <w:rFonts w:asciiTheme="majorHAnsi" w:eastAsiaTheme="majorEastAsia" w:hAnsiTheme="majorHAnsi" w:cstheme="majorBidi"/>
          <w:b/>
          <w:bCs/>
          <w:color w:val="4F81BD" w:themeColor="accent1"/>
          <w:sz w:val="23"/>
          <w:szCs w:val="26"/>
          <w:lang w:eastAsia="ja-JP"/>
        </w:rPr>
        <w:t>位置づけ</w:t>
      </w:r>
    </w:p>
    <w:p w14:paraId="25F8CD9E" w14:textId="17D9DC3A" w:rsidR="001D1F06" w:rsidRDefault="00000000">
      <w:pPr>
        <w:spacing w:after="80"/>
        <w:rPr>
          <w:lang w:eastAsia="ja-JP"/>
        </w:rPr>
      </w:pPr>
      <w:r>
        <w:rPr>
          <w:lang w:eastAsia="ja-JP"/>
        </w:rPr>
        <w:t>本資料は総合版及び関係府省庁向け説明資料を前提として、制度化段階において必要となる法令上の論点を抽出した整理案である。記載内容については、今後、内閣府、法務省、財務省その他関係府省庁との調整並びに既存法令との照合を踏まえてさらに精査する前提で整理したものである。</w:t>
      </w:r>
    </w:p>
    <w:p w14:paraId="364C92F4" w14:textId="77777777" w:rsidR="003820BB" w:rsidRPr="003820BB" w:rsidRDefault="003820BB" w:rsidP="003820BB">
      <w:pPr>
        <w:keepNext/>
        <w:keepLines/>
        <w:spacing w:before="200" w:after="80" w:line="288" w:lineRule="auto"/>
        <w:outlineLvl w:val="0"/>
        <w:rPr>
          <w:rFonts w:asciiTheme="majorHAnsi" w:eastAsiaTheme="majorEastAsia" w:hAnsiTheme="majorHAnsi" w:cstheme="majorBidi"/>
          <w:b/>
          <w:bCs/>
          <w:color w:val="365F91" w:themeColor="accent1" w:themeShade="BF"/>
          <w:sz w:val="26"/>
          <w:szCs w:val="28"/>
          <w:lang w:eastAsia="ja-JP"/>
        </w:rPr>
      </w:pPr>
      <w:r w:rsidRPr="003820BB">
        <w:rPr>
          <w:rFonts w:asciiTheme="majorHAnsi" w:eastAsiaTheme="majorEastAsia" w:hAnsiTheme="majorHAnsi" w:cstheme="majorBidi"/>
          <w:b/>
          <w:bCs/>
          <w:color w:val="365F91" w:themeColor="accent1" w:themeShade="BF"/>
          <w:sz w:val="26"/>
          <w:szCs w:val="28"/>
          <w:lang w:eastAsia="ja-JP"/>
        </w:rPr>
        <w:t>0</w:t>
      </w:r>
      <w:r w:rsidRPr="003820BB">
        <w:rPr>
          <w:rFonts w:asciiTheme="majorHAnsi" w:eastAsiaTheme="majorEastAsia" w:hAnsiTheme="majorHAnsi" w:cstheme="majorBidi"/>
          <w:b/>
          <w:bCs/>
          <w:color w:val="365F91" w:themeColor="accent1" w:themeShade="BF"/>
          <w:sz w:val="26"/>
          <w:szCs w:val="28"/>
          <w:lang w:eastAsia="ja-JP"/>
        </w:rPr>
        <w:t>．要旨</w:t>
      </w:r>
    </w:p>
    <w:p w14:paraId="53F1EE88" w14:textId="77777777" w:rsidR="001D1F06" w:rsidRDefault="00000000">
      <w:pPr>
        <w:pStyle w:val="21"/>
        <w:rPr>
          <w:lang w:eastAsia="ja-JP"/>
        </w:rPr>
      </w:pPr>
      <w:r>
        <w:rPr>
          <w:lang w:eastAsia="ja-JP"/>
        </w:rPr>
        <w:t>0-1</w:t>
      </w:r>
      <w:r>
        <w:rPr>
          <w:lang w:eastAsia="ja-JP"/>
        </w:rPr>
        <w:t>．一行要旨</w:t>
      </w:r>
    </w:p>
    <w:p w14:paraId="0358C4A8" w14:textId="77777777" w:rsidR="001D1F06" w:rsidRDefault="00000000">
      <w:pPr>
        <w:rPr>
          <w:lang w:eastAsia="ja-JP"/>
        </w:rPr>
      </w:pPr>
      <w:r>
        <w:rPr>
          <w:lang w:eastAsia="ja-JP"/>
        </w:rPr>
        <w:t>本構想は、北日本地域における重要基盤整備及び国際共同投資レイヤーを制度として実装可能なものとするため、目的限定・対象限定・時限・統制装置を備えた特別措置法の要否を含め、既存法令との整合を法技術上整理しようとするものである。</w:t>
      </w:r>
    </w:p>
    <w:p w14:paraId="7F7D0E0F" w14:textId="77777777" w:rsidR="001D1F06" w:rsidRDefault="00000000">
      <w:pPr>
        <w:pStyle w:val="21"/>
        <w:rPr>
          <w:lang w:eastAsia="ja-JP"/>
        </w:rPr>
      </w:pPr>
      <w:r>
        <w:rPr>
          <w:lang w:eastAsia="ja-JP"/>
        </w:rPr>
        <w:t>0-2</w:t>
      </w:r>
      <w:r>
        <w:rPr>
          <w:lang w:eastAsia="ja-JP"/>
        </w:rPr>
        <w:t>．要点</w:t>
      </w:r>
    </w:p>
    <w:p w14:paraId="7B915C04" w14:textId="77777777" w:rsidR="001D1F06" w:rsidRDefault="00000000">
      <w:pPr>
        <w:ind w:left="227" w:hanging="227"/>
        <w:rPr>
          <w:lang w:eastAsia="ja-JP"/>
        </w:rPr>
      </w:pPr>
      <w:r>
        <w:rPr>
          <w:b/>
          <w:lang w:eastAsia="ja-JP"/>
        </w:rPr>
        <w:t xml:space="preserve">① </w:t>
      </w:r>
      <w:r>
        <w:rPr>
          <w:b/>
          <w:lang w:eastAsia="ja-JP"/>
        </w:rPr>
        <w:t>基本認識</w:t>
      </w:r>
      <w:r>
        <w:rPr>
          <w:b/>
          <w:lang w:eastAsia="ja-JP"/>
        </w:rPr>
        <w:t xml:space="preserve"> </w:t>
      </w:r>
      <w:r>
        <w:rPr>
          <w:lang w:eastAsia="ja-JP"/>
        </w:rPr>
        <w:t>本構想は、単なる政策構想にとどまらず、基金、出資、投資対象、管理主体、財政規律及び統制措置を伴うため、制度化に当たっては法的根拠の明確化が必要となる。</w:t>
      </w:r>
    </w:p>
    <w:p w14:paraId="384C57A5" w14:textId="77777777" w:rsidR="003820BB" w:rsidRDefault="003820BB">
      <w:pPr>
        <w:ind w:left="227" w:hanging="227"/>
        <w:rPr>
          <w:rFonts w:hint="eastAsia"/>
          <w:lang w:eastAsia="ja-JP"/>
        </w:rPr>
      </w:pPr>
    </w:p>
    <w:p w14:paraId="12840E5A" w14:textId="77777777" w:rsidR="001D1F06" w:rsidRDefault="00000000">
      <w:pPr>
        <w:ind w:left="227" w:hanging="227"/>
        <w:rPr>
          <w:lang w:eastAsia="ja-JP"/>
        </w:rPr>
      </w:pPr>
      <w:r>
        <w:rPr>
          <w:b/>
          <w:lang w:eastAsia="ja-JP"/>
        </w:rPr>
        <w:t xml:space="preserve">② </w:t>
      </w:r>
      <w:r>
        <w:rPr>
          <w:b/>
          <w:lang w:eastAsia="ja-JP"/>
        </w:rPr>
        <w:t>法制局との接続</w:t>
      </w:r>
      <w:r>
        <w:rPr>
          <w:b/>
          <w:lang w:eastAsia="ja-JP"/>
        </w:rPr>
        <w:t xml:space="preserve"> </w:t>
      </w:r>
      <w:r>
        <w:rPr>
          <w:lang w:eastAsia="ja-JP"/>
        </w:rPr>
        <w:t>制度化段階においては、特別措置法の必要性、既存法令で処理可能な部分との切分け、法律事項と政令委任事項の整理、目的規定及び禁止規定の明確化等について、法技術上の整合確認が必要となる。</w:t>
      </w:r>
    </w:p>
    <w:p w14:paraId="04D44013" w14:textId="77777777" w:rsidR="003820BB" w:rsidRDefault="003820BB">
      <w:pPr>
        <w:ind w:left="227" w:hanging="227"/>
        <w:rPr>
          <w:rFonts w:hint="eastAsia"/>
          <w:lang w:eastAsia="ja-JP"/>
        </w:rPr>
      </w:pPr>
    </w:p>
    <w:p w14:paraId="6F2740C6" w14:textId="77777777" w:rsidR="001D1F06" w:rsidRDefault="00000000">
      <w:pPr>
        <w:ind w:left="227" w:hanging="227"/>
        <w:rPr>
          <w:lang w:eastAsia="ja-JP"/>
        </w:rPr>
      </w:pPr>
      <w:r>
        <w:rPr>
          <w:b/>
          <w:lang w:eastAsia="ja-JP"/>
        </w:rPr>
        <w:t xml:space="preserve">③ </w:t>
      </w:r>
      <w:r>
        <w:rPr>
          <w:b/>
          <w:lang w:eastAsia="ja-JP"/>
        </w:rPr>
        <w:t>検討の中心</w:t>
      </w:r>
      <w:r>
        <w:rPr>
          <w:b/>
          <w:lang w:eastAsia="ja-JP"/>
        </w:rPr>
        <w:t xml:space="preserve"> </w:t>
      </w:r>
      <w:r>
        <w:rPr>
          <w:lang w:eastAsia="ja-JP"/>
        </w:rPr>
        <w:t>NEASIF</w:t>
      </w:r>
      <w:r>
        <w:rPr>
          <w:lang w:eastAsia="ja-JP"/>
        </w:rPr>
        <w:t>に関する法的器については、基金の設置主体、内閣府による管理、財政法との整合、政府の有限責任出資者としての位置づけ、個別案件関与制限、投資対象限定、防衛装備除外、</w:t>
      </w:r>
      <w:r>
        <w:rPr>
          <w:lang w:eastAsia="ja-JP"/>
        </w:rPr>
        <w:t>15</w:t>
      </w:r>
      <w:r>
        <w:rPr>
          <w:lang w:eastAsia="ja-JP"/>
        </w:rPr>
        <w:t>年時限、</w:t>
      </w:r>
      <w:r>
        <w:rPr>
          <w:lang w:eastAsia="ja-JP"/>
        </w:rPr>
        <w:t>5</w:t>
      </w:r>
      <w:r>
        <w:rPr>
          <w:lang w:eastAsia="ja-JP"/>
        </w:rPr>
        <w:t>年評価、金利</w:t>
      </w:r>
      <w:r>
        <w:rPr>
          <w:lang w:eastAsia="ja-JP"/>
        </w:rPr>
        <w:t>3</w:t>
      </w:r>
      <w:r>
        <w:rPr>
          <w:lang w:eastAsia="ja-JP"/>
        </w:rPr>
        <w:t>％停止条項、会計検査院監査及び国会報告義務を中心に整理する必要がある。</w:t>
      </w:r>
    </w:p>
    <w:p w14:paraId="4FECE0F8" w14:textId="77777777" w:rsidR="001D1F06" w:rsidRPr="003820BB" w:rsidRDefault="00000000">
      <w:pPr>
        <w:pStyle w:val="1"/>
        <w:rPr>
          <w:color w:val="365F91" w:themeColor="accent1" w:themeShade="BF"/>
          <w:lang w:eastAsia="ja-JP"/>
        </w:rPr>
      </w:pPr>
      <w:r w:rsidRPr="003820BB">
        <w:rPr>
          <w:color w:val="365F91" w:themeColor="accent1" w:themeShade="BF"/>
          <w:lang w:eastAsia="ja-JP"/>
        </w:rPr>
        <w:t>1</w:t>
      </w:r>
      <w:r w:rsidRPr="003820BB">
        <w:rPr>
          <w:color w:val="365F91" w:themeColor="accent1" w:themeShade="BF"/>
          <w:lang w:eastAsia="ja-JP"/>
        </w:rPr>
        <w:t>．本構想において制度化整理が必要となる理由</w:t>
      </w:r>
    </w:p>
    <w:p w14:paraId="4D7F5971" w14:textId="77777777" w:rsidR="001D1F06" w:rsidRDefault="00000000">
      <w:pPr>
        <w:rPr>
          <w:lang w:eastAsia="ja-JP"/>
        </w:rPr>
      </w:pPr>
      <w:r>
        <w:rPr>
          <w:lang w:eastAsia="ja-JP"/>
        </w:rPr>
        <w:t>本構想は、北日本地域におけるエネルギー基盤、先端産業基盤、港湾・空港機能、計算資本及びデータ基盤並びに国際共同投資レイヤーを相互に関連付けて実装しようとするものである。そのため、財政措置、出資、管理、監督、禁止範囲及び時限措置を法的に明確化しなければ、制度としての安定性及び統制可能性を欠くおそれがある。特に、北日本戦略投資基金の設置及び運営に関する特別措置法案の骨格を別添として付しており、制度化の方向性として、一定の横断性を有する時限立法を想定している。</w:t>
      </w:r>
    </w:p>
    <w:p w14:paraId="29972B9A" w14:textId="77777777" w:rsidR="001D1F06" w:rsidRPr="003820BB" w:rsidRDefault="00000000">
      <w:pPr>
        <w:pStyle w:val="1"/>
        <w:rPr>
          <w:color w:val="365F91" w:themeColor="accent1" w:themeShade="BF"/>
          <w:lang w:eastAsia="ja-JP"/>
        </w:rPr>
      </w:pPr>
      <w:r w:rsidRPr="003820BB">
        <w:rPr>
          <w:color w:val="365F91" w:themeColor="accent1" w:themeShade="BF"/>
          <w:lang w:eastAsia="ja-JP"/>
        </w:rPr>
        <w:t>2</w:t>
      </w:r>
      <w:r w:rsidRPr="003820BB">
        <w:rPr>
          <w:color w:val="365F91" w:themeColor="accent1" w:themeShade="BF"/>
          <w:lang w:eastAsia="ja-JP"/>
        </w:rPr>
        <w:t>．特別措置法の要否</w:t>
      </w:r>
    </w:p>
    <w:p w14:paraId="27708DD6" w14:textId="77777777" w:rsidR="001D1F06" w:rsidRDefault="00000000">
      <w:pPr>
        <w:rPr>
          <w:lang w:eastAsia="ja-JP"/>
        </w:rPr>
      </w:pPr>
      <w:r>
        <w:rPr>
          <w:lang w:eastAsia="ja-JP"/>
        </w:rPr>
        <w:t>本構想の制度化に当たり、第一に検討すべきは、既存法令の組合せにより処理するのか、それとも目的限定・対象限定の特別措置法を設けるのかという点である。現時点の構想では、北日本地域を対象とし、</w:t>
      </w:r>
      <w:r>
        <w:rPr>
          <w:lang w:eastAsia="ja-JP"/>
        </w:rPr>
        <w:lastRenderedPageBreak/>
        <w:t>重要基盤整備への投資を促進する基金を設け、その管理主体を内閣府とし、一般会計を通じた資金拠出、民間又は外国政府等からの出資、民間</w:t>
      </w:r>
      <w:r>
        <w:rPr>
          <w:lang w:eastAsia="ja-JP"/>
        </w:rPr>
        <w:t>GP</w:t>
      </w:r>
      <w:r>
        <w:rPr>
          <w:lang w:eastAsia="ja-JP"/>
        </w:rPr>
        <w:t>運用、統制装置及び時限措置を一体で規定することが想定されている。このような構造は、単一の既存法令に収まりにくく、目的、対象、統制及び除外規定を一括して整理する観点から、特別措置法による制度化を検討する合理性が高い。</w:t>
      </w:r>
    </w:p>
    <w:p w14:paraId="23FE0AE2" w14:textId="77777777" w:rsidR="001D1F06" w:rsidRPr="003820BB" w:rsidRDefault="00000000">
      <w:pPr>
        <w:pStyle w:val="1"/>
        <w:rPr>
          <w:color w:val="365F91" w:themeColor="accent1" w:themeShade="BF"/>
          <w:lang w:eastAsia="ja-JP"/>
        </w:rPr>
      </w:pPr>
      <w:r w:rsidRPr="003820BB">
        <w:rPr>
          <w:color w:val="365F91" w:themeColor="accent1" w:themeShade="BF"/>
          <w:lang w:eastAsia="ja-JP"/>
        </w:rPr>
        <w:t>3</w:t>
      </w:r>
      <w:r w:rsidRPr="003820BB">
        <w:rPr>
          <w:color w:val="365F91" w:themeColor="accent1" w:themeShade="BF"/>
          <w:lang w:eastAsia="ja-JP"/>
        </w:rPr>
        <w:t>．想定される法律の基本骨格</w:t>
      </w:r>
    </w:p>
    <w:p w14:paraId="63F44628" w14:textId="77777777" w:rsidR="001D1F06" w:rsidRDefault="00000000">
      <w:pPr>
        <w:rPr>
          <w:lang w:eastAsia="ja-JP"/>
        </w:rPr>
      </w:pPr>
      <w:r>
        <w:rPr>
          <w:lang w:eastAsia="ja-JP"/>
        </w:rPr>
        <w:t>想定される法律の骨格としては、総則、基金の設置及び管理、出資及び運用、投資対象、財政規律及び監督、解散及び残余財産並びに附則という構成が考えられる。特に、目的及び対象地域、基金の設置及び管理主体、資金の積立財源、出資の法的根拠、政府の地位及び関与制限、投資対象の限定、防衛装備等の対象外規定、存続期間、中間評価、金利条件による停止条項、会計検査及び国会報告、解散及び残余財産の帰属は、法律事項として整理する必要がある。</w:t>
      </w:r>
    </w:p>
    <w:p w14:paraId="2D34665E" w14:textId="77777777" w:rsidR="001D1F06" w:rsidRPr="003820BB" w:rsidRDefault="00000000">
      <w:pPr>
        <w:pStyle w:val="1"/>
        <w:rPr>
          <w:color w:val="365F91" w:themeColor="accent1" w:themeShade="BF"/>
          <w:lang w:eastAsia="ja-JP"/>
        </w:rPr>
      </w:pPr>
      <w:r w:rsidRPr="003820BB">
        <w:rPr>
          <w:color w:val="365F91" w:themeColor="accent1" w:themeShade="BF"/>
          <w:lang w:eastAsia="ja-JP"/>
        </w:rPr>
        <w:t>4</w:t>
      </w:r>
      <w:r w:rsidRPr="003820BB">
        <w:rPr>
          <w:color w:val="365F91" w:themeColor="accent1" w:themeShade="BF"/>
          <w:lang w:eastAsia="ja-JP"/>
        </w:rPr>
        <w:t>．既存法令との整合上の主要論点</w:t>
      </w:r>
    </w:p>
    <w:p w14:paraId="4E47E4F6" w14:textId="77777777" w:rsidR="001D1F06" w:rsidRDefault="00000000">
      <w:pPr>
        <w:rPr>
          <w:lang w:eastAsia="ja-JP"/>
        </w:rPr>
      </w:pPr>
      <w:r>
        <w:rPr>
          <w:lang w:eastAsia="ja-JP"/>
        </w:rPr>
        <w:t>制度化に当たっては、少なくとも財政法、外国為替資金特別会計に関する制度、会計検査院法及び国会統制との整合整理が必要となる。特に、基金への資金積立て及び出資を国会の議決を経た予算の範囲内で行うこと、外貨準備資産の市場売却を前提としないこと、会計検査院による監査及び毎年度の国会報告を課すことは、制度の正統性及び財政規律確保の観点から重要である。</w:t>
      </w:r>
    </w:p>
    <w:p w14:paraId="37278FC7" w14:textId="77777777" w:rsidR="001D1F06" w:rsidRPr="003820BB" w:rsidRDefault="00000000">
      <w:pPr>
        <w:pStyle w:val="1"/>
        <w:rPr>
          <w:color w:val="365F91" w:themeColor="accent1" w:themeShade="BF"/>
          <w:lang w:eastAsia="ja-JP"/>
        </w:rPr>
      </w:pPr>
      <w:r w:rsidRPr="003820BB">
        <w:rPr>
          <w:color w:val="365F91" w:themeColor="accent1" w:themeShade="BF"/>
          <w:lang w:eastAsia="ja-JP"/>
        </w:rPr>
        <w:t>5</w:t>
      </w:r>
      <w:r w:rsidRPr="003820BB">
        <w:rPr>
          <w:color w:val="365F91" w:themeColor="accent1" w:themeShade="BF"/>
          <w:lang w:eastAsia="ja-JP"/>
        </w:rPr>
        <w:t>．投資対象の限定と禁止規定</w:t>
      </w:r>
    </w:p>
    <w:p w14:paraId="03C39A0A" w14:textId="77777777" w:rsidR="001D1F06" w:rsidRDefault="00000000">
      <w:pPr>
        <w:rPr>
          <w:lang w:eastAsia="ja-JP"/>
        </w:rPr>
      </w:pPr>
      <w:r>
        <w:rPr>
          <w:lang w:eastAsia="ja-JP"/>
        </w:rPr>
        <w:t>制度化に当たっては、対象事業として、エネルギー基盤整備、半導体後工程及び関連産業基盤、港湾及び空港機能強化、計算資本及びデータ基盤整備並びに国際共同投資事業を掲げる一方、防衛装備の取得又は軍事目的の投資を対象外とするなど、何を対象とし、何を対象外とするかを明確にする必要がある。この対象限定と除外規定は、本構想の法的安定性及び対外説明可能性を支える中核である。</w:t>
      </w:r>
    </w:p>
    <w:p w14:paraId="01F935D2" w14:textId="77777777" w:rsidR="001D1F06" w:rsidRPr="003820BB" w:rsidRDefault="00000000">
      <w:pPr>
        <w:pStyle w:val="1"/>
        <w:rPr>
          <w:color w:val="365F91" w:themeColor="accent1" w:themeShade="BF"/>
          <w:lang w:eastAsia="ja-JP"/>
        </w:rPr>
      </w:pPr>
      <w:r w:rsidRPr="003820BB">
        <w:rPr>
          <w:color w:val="365F91" w:themeColor="accent1" w:themeShade="BF"/>
          <w:lang w:eastAsia="ja-JP"/>
        </w:rPr>
        <w:t>6</w:t>
      </w:r>
      <w:r w:rsidRPr="003820BB">
        <w:rPr>
          <w:color w:val="365F91" w:themeColor="accent1" w:themeShade="BF"/>
          <w:lang w:eastAsia="ja-JP"/>
        </w:rPr>
        <w:t>．政府の地位と関与制限</w:t>
      </w:r>
    </w:p>
    <w:p w14:paraId="50927801" w14:textId="77777777" w:rsidR="001D1F06" w:rsidRDefault="00000000">
      <w:pPr>
        <w:rPr>
          <w:lang w:eastAsia="ja-JP"/>
        </w:rPr>
      </w:pPr>
      <w:r>
        <w:rPr>
          <w:lang w:eastAsia="ja-JP"/>
        </w:rPr>
        <w:t>政府は有限責任出資者として出資し、出資先の個別投資案件の決定に直接関与しない構造を基本とすることが考えられる。この整理は、政治介入の遮断、運用責任の明確化及び民間</w:t>
      </w:r>
      <w:r>
        <w:rPr>
          <w:lang w:eastAsia="ja-JP"/>
        </w:rPr>
        <w:t>GP</w:t>
      </w:r>
      <w:r>
        <w:rPr>
          <w:lang w:eastAsia="ja-JP"/>
        </w:rPr>
        <w:t>活用の前提として重要であり、監督権限との関係を含めた法技術上の整理が必要となる。</w:t>
      </w:r>
    </w:p>
    <w:p w14:paraId="1E12997B" w14:textId="77777777" w:rsidR="001D1F06" w:rsidRPr="003820BB" w:rsidRDefault="00000000">
      <w:pPr>
        <w:pStyle w:val="1"/>
        <w:rPr>
          <w:color w:val="365F91" w:themeColor="accent1" w:themeShade="BF"/>
          <w:lang w:eastAsia="ja-JP"/>
        </w:rPr>
      </w:pPr>
      <w:r w:rsidRPr="003820BB">
        <w:rPr>
          <w:color w:val="365F91" w:themeColor="accent1" w:themeShade="BF"/>
          <w:lang w:eastAsia="ja-JP"/>
        </w:rPr>
        <w:t>7</w:t>
      </w:r>
      <w:r w:rsidRPr="003820BB">
        <w:rPr>
          <w:color w:val="365F91" w:themeColor="accent1" w:themeShade="BF"/>
          <w:lang w:eastAsia="ja-JP"/>
        </w:rPr>
        <w:t>．時限・評価・停止条項</w:t>
      </w:r>
    </w:p>
    <w:p w14:paraId="4A96C95E" w14:textId="77777777" w:rsidR="001D1F06" w:rsidRDefault="00000000">
      <w:pPr>
        <w:rPr>
          <w:lang w:eastAsia="ja-JP"/>
        </w:rPr>
      </w:pPr>
      <w:r>
        <w:rPr>
          <w:lang w:eastAsia="ja-JP"/>
        </w:rPr>
        <w:t>制度の恒久化を避け、財政規律及び市場信認への配慮を明示するため、基金の存続期間を十五年とし、五年経過時点で成果評価を行い、長期国債利回りが三パーセントを超える状態が一定期間継続した場合には新規出資を停止する構造が考えられる。停止条項の発動要件をどこまで法律に書くか、評価結果と新規出資停止の関係をどう接続するかが論点となる。</w:t>
      </w:r>
    </w:p>
    <w:p w14:paraId="15B7F225" w14:textId="77777777" w:rsidR="001D1F06" w:rsidRPr="003820BB" w:rsidRDefault="00000000">
      <w:pPr>
        <w:pStyle w:val="1"/>
        <w:rPr>
          <w:color w:val="365F91" w:themeColor="accent1" w:themeShade="BF"/>
          <w:lang w:eastAsia="ja-JP"/>
        </w:rPr>
      </w:pPr>
      <w:r w:rsidRPr="003820BB">
        <w:rPr>
          <w:color w:val="365F91" w:themeColor="accent1" w:themeShade="BF"/>
          <w:lang w:eastAsia="ja-JP"/>
        </w:rPr>
        <w:t>8</w:t>
      </w:r>
      <w:r w:rsidRPr="003820BB">
        <w:rPr>
          <w:color w:val="365F91" w:themeColor="accent1" w:themeShade="BF"/>
          <w:lang w:eastAsia="ja-JP"/>
        </w:rPr>
        <w:t>．法律事項と政令委任事項の切分け</w:t>
      </w:r>
    </w:p>
    <w:p w14:paraId="4CD1247F" w14:textId="77777777" w:rsidR="001D1F06" w:rsidRDefault="00000000">
      <w:pPr>
        <w:rPr>
          <w:lang w:eastAsia="ja-JP"/>
        </w:rPr>
      </w:pPr>
      <w:r>
        <w:rPr>
          <w:lang w:eastAsia="ja-JP"/>
        </w:rPr>
        <w:t>法律には制度の根幹を置き、実務的・技術的事項は政令等へ委任する整理が必要である。少なくとも、制度目的、管理主体、財源の種類、出資の根拠、投資対象及び除外対象、時限、中間評価、停止条項の基本構造、監査及び国会報告、解散及び残余財産帰属は法律事項として置くことが考えられる。他方、北日本地域の具体的区域、停止条項における一定期間の定義、中間評価の具体指標、報告様式及び管理事務の細目は、政令等に委任し得る。</w:t>
      </w:r>
    </w:p>
    <w:p w14:paraId="0E71F8AD" w14:textId="77777777" w:rsidR="001D1F06" w:rsidRPr="003820BB" w:rsidRDefault="00000000">
      <w:pPr>
        <w:pStyle w:val="1"/>
        <w:rPr>
          <w:color w:val="365F91" w:themeColor="accent1" w:themeShade="BF"/>
          <w:lang w:eastAsia="ja-JP"/>
        </w:rPr>
      </w:pPr>
      <w:r w:rsidRPr="003820BB">
        <w:rPr>
          <w:color w:val="365F91" w:themeColor="accent1" w:themeShade="BF"/>
          <w:lang w:eastAsia="ja-JP"/>
        </w:rPr>
        <w:t>9</w:t>
      </w:r>
      <w:r w:rsidRPr="003820BB">
        <w:rPr>
          <w:color w:val="365F91" w:themeColor="accent1" w:themeShade="BF"/>
          <w:lang w:eastAsia="ja-JP"/>
        </w:rPr>
        <w:t>．法務省との役割分担</w:t>
      </w:r>
    </w:p>
    <w:p w14:paraId="455DC4D6" w14:textId="77777777" w:rsidR="001D1F06" w:rsidRDefault="00000000">
      <w:pPr>
        <w:rPr>
          <w:lang w:eastAsia="ja-JP"/>
        </w:rPr>
      </w:pPr>
      <w:r>
        <w:rPr>
          <w:lang w:eastAsia="ja-JP"/>
        </w:rPr>
        <w:t>法務省は、法人法制、契約、権利義務、人権配慮及び外国人高度人材受入れ制度等の制度実装面を担う。これに対し、内閣法制局は、制度全体について、法令として成り立つか、既存法体系と整合するか、条文構造及び委任範囲が適切かを審査する立場にある。したがって、法制局向けには、制度内容そのものよりも、法的器としての特措法構造を中心に整理することが適当である。</w:t>
      </w:r>
    </w:p>
    <w:p w14:paraId="3955243A" w14:textId="77777777" w:rsidR="001D1F06" w:rsidRPr="003820BB" w:rsidRDefault="00000000">
      <w:pPr>
        <w:pStyle w:val="1"/>
        <w:rPr>
          <w:color w:val="365F91" w:themeColor="accent1" w:themeShade="BF"/>
          <w:lang w:eastAsia="ja-JP"/>
        </w:rPr>
      </w:pPr>
      <w:r w:rsidRPr="003820BB">
        <w:rPr>
          <w:color w:val="365F91" w:themeColor="accent1" w:themeShade="BF"/>
          <w:lang w:eastAsia="ja-JP"/>
        </w:rPr>
        <w:lastRenderedPageBreak/>
        <w:t>10</w:t>
      </w:r>
      <w:r w:rsidRPr="003820BB">
        <w:rPr>
          <w:color w:val="365F91" w:themeColor="accent1" w:themeShade="BF"/>
          <w:lang w:eastAsia="ja-JP"/>
        </w:rPr>
        <w:t>．今後の制度化論点</w:t>
      </w:r>
    </w:p>
    <w:p w14:paraId="125BA0C9" w14:textId="77777777" w:rsidR="001D1F06" w:rsidRDefault="00000000">
      <w:pPr>
        <w:rPr>
          <w:lang w:eastAsia="ja-JP"/>
        </w:rPr>
      </w:pPr>
      <w:r>
        <w:rPr>
          <w:lang w:eastAsia="ja-JP"/>
        </w:rPr>
        <w:t>今後、制度化に向けては、特別措置法の要否の確定、財政法・外為特会・予算措置との接続整理、基金管理主体を内閣府とすることの妥当性確認、投資対象限定及び防衛装備除外規定の明確化、政府の関与制限規定と監督規定の整合、時限・評価・停止条項の条文化精度向上、政令委任事項の切分け及び他の関係法令との横断整理を順次進める必要がある。</w:t>
      </w:r>
    </w:p>
    <w:p w14:paraId="6033FF15" w14:textId="77777777" w:rsidR="001D1F06" w:rsidRPr="003820BB" w:rsidRDefault="00000000">
      <w:pPr>
        <w:pStyle w:val="1"/>
        <w:rPr>
          <w:color w:val="365F91" w:themeColor="accent1" w:themeShade="BF"/>
          <w:lang w:eastAsia="ja-JP"/>
        </w:rPr>
      </w:pPr>
      <w:r w:rsidRPr="003820BB">
        <w:rPr>
          <w:color w:val="365F91" w:themeColor="accent1" w:themeShade="BF"/>
          <w:lang w:eastAsia="ja-JP"/>
        </w:rPr>
        <w:t>11</w:t>
      </w:r>
      <w:r w:rsidRPr="003820BB">
        <w:rPr>
          <w:color w:val="365F91" w:themeColor="accent1" w:themeShade="BF"/>
          <w:lang w:eastAsia="ja-JP"/>
        </w:rPr>
        <w:t>．結論</w:t>
      </w:r>
    </w:p>
    <w:p w14:paraId="45CDAE15" w14:textId="77777777" w:rsidR="001D1F06" w:rsidRDefault="00000000">
      <w:pPr>
        <w:rPr>
          <w:lang w:eastAsia="ja-JP"/>
        </w:rPr>
      </w:pPr>
      <w:r>
        <w:rPr>
          <w:lang w:eastAsia="ja-JP"/>
        </w:rPr>
        <w:t>以上のとおり、本構想の制度化に当たっては、単なる政策目的の記述にとどまらず、基金、出資、管理、投資対象、統制、禁止及び時限措置を備えた法的器の整備が必要となる。内閣法制局向けには、特別措置法の要否、既存法令との整合、法律事項と政令委任事項の切分け、投資対象限定、防衛装備除外、財政規律確保及び統制装置の条文化を中心に整理することが適当である。</w:t>
      </w:r>
    </w:p>
    <w:p w14:paraId="7E9C3337" w14:textId="77777777" w:rsidR="001D1F06" w:rsidRDefault="00000000">
      <w:pPr>
        <w:spacing w:before="160"/>
        <w:rPr>
          <w:lang w:eastAsia="ja-JP"/>
        </w:rPr>
      </w:pPr>
      <w:r>
        <w:rPr>
          <w:i/>
          <w:sz w:val="19"/>
          <w:lang w:eastAsia="ja-JP"/>
        </w:rPr>
        <w:t>注）本資料は制度化論点の初期整理案であり、記載内容については、今後、内閣府、法務省、財務省その他関係府省庁との調整並びに既存法令との整合確認を踏まえてさらに精査する前提である。</w:t>
      </w:r>
    </w:p>
    <w:p w14:paraId="4965D225" w14:textId="77777777" w:rsidR="001D1F06" w:rsidRDefault="00000000">
      <w:pPr>
        <w:rPr>
          <w:lang w:eastAsia="ja-JP"/>
        </w:rPr>
      </w:pPr>
      <w:r>
        <w:rPr>
          <w:lang w:eastAsia="ja-JP"/>
        </w:rPr>
        <w:br w:type="page"/>
      </w:r>
    </w:p>
    <w:p w14:paraId="623BB75F" w14:textId="77777777" w:rsidR="001D1F06" w:rsidRDefault="00000000">
      <w:pPr>
        <w:spacing w:after="200"/>
        <w:jc w:val="center"/>
        <w:rPr>
          <w:lang w:eastAsia="ja-JP"/>
        </w:rPr>
      </w:pPr>
      <w:r>
        <w:rPr>
          <w:b/>
          <w:sz w:val="28"/>
          <w:lang w:eastAsia="ja-JP"/>
        </w:rPr>
        <w:lastRenderedPageBreak/>
        <w:t>別添</w:t>
      </w:r>
      <w:r>
        <w:rPr>
          <w:b/>
          <w:sz w:val="28"/>
          <w:lang w:eastAsia="ja-JP"/>
        </w:rPr>
        <w:br/>
        <w:t>NEASIF</w:t>
      </w:r>
      <w:r>
        <w:rPr>
          <w:b/>
          <w:sz w:val="28"/>
          <w:lang w:eastAsia="ja-JP"/>
        </w:rPr>
        <w:t>特別措置法（骨子案・条文イメージ案）</w:t>
      </w:r>
    </w:p>
    <w:p w14:paraId="27F6A0DD" w14:textId="77777777" w:rsidR="001D1F06" w:rsidRDefault="00000000">
      <w:pPr>
        <w:spacing w:after="160"/>
        <w:rPr>
          <w:lang w:eastAsia="ja-JP"/>
        </w:rPr>
      </w:pPr>
      <w:r>
        <w:rPr>
          <w:lang w:eastAsia="ja-JP"/>
        </w:rPr>
        <w:t>以下は、制度化可能性を検討するための参考素材として整理した初期的な条文イメージであり、正式な法案要綱又は政府原案ではない。目的限定・対象限定・時限・統制措置の基本構造を可視化するための骨子案として位置づける。</w:t>
      </w:r>
    </w:p>
    <w:p w14:paraId="3B860099" w14:textId="77777777" w:rsidR="001D1F06" w:rsidRDefault="00000000">
      <w:pPr>
        <w:pStyle w:val="1"/>
        <w:rPr>
          <w:lang w:eastAsia="ja-JP"/>
        </w:rPr>
      </w:pPr>
      <w:r>
        <w:rPr>
          <w:lang w:eastAsia="ja-JP"/>
        </w:rPr>
        <w:t>第一章　総則</w:t>
      </w:r>
    </w:p>
    <w:p w14:paraId="1ED1BDE8" w14:textId="77777777" w:rsidR="001D1F06" w:rsidRDefault="00000000">
      <w:pPr>
        <w:ind w:left="227" w:hanging="227"/>
        <w:rPr>
          <w:lang w:eastAsia="ja-JP"/>
        </w:rPr>
      </w:pPr>
      <w:r>
        <w:rPr>
          <w:lang w:eastAsia="ja-JP"/>
        </w:rPr>
        <w:t>第</w:t>
      </w:r>
      <w:r>
        <w:rPr>
          <w:lang w:eastAsia="ja-JP"/>
        </w:rPr>
        <w:t>1</w:t>
      </w:r>
      <w:r>
        <w:rPr>
          <w:lang w:eastAsia="ja-JP"/>
        </w:rPr>
        <w:t>条（目的）　この法律は、我が国の経済安全保障の確保、国家継続性の強化及び持続的な経済成長の実現を図るため、北日本地域におけるエネルギー基盤、先端産業基盤、港湾・空港機能その他の重要インフラへの投資を促進することを目的として、北日本戦略投資基金の設置及び運営に関し必要な事項を定める。</w:t>
      </w:r>
    </w:p>
    <w:p w14:paraId="6F6F3C54" w14:textId="77777777" w:rsidR="001D1F06" w:rsidRDefault="00000000">
      <w:pPr>
        <w:ind w:left="227" w:hanging="227"/>
        <w:rPr>
          <w:lang w:eastAsia="ja-JP"/>
        </w:rPr>
      </w:pPr>
      <w:r>
        <w:rPr>
          <w:lang w:eastAsia="ja-JP"/>
        </w:rPr>
        <w:t>第</w:t>
      </w:r>
      <w:r>
        <w:rPr>
          <w:lang w:eastAsia="ja-JP"/>
        </w:rPr>
        <w:t>2</w:t>
      </w:r>
      <w:r>
        <w:rPr>
          <w:lang w:eastAsia="ja-JP"/>
        </w:rPr>
        <w:t>条（定義）　この法律において「北日本地域」とは、政令で定める区域をいう。</w:t>
      </w:r>
    </w:p>
    <w:p w14:paraId="196A548F" w14:textId="77777777" w:rsidR="001D1F06" w:rsidRDefault="00000000">
      <w:pPr>
        <w:pStyle w:val="1"/>
        <w:rPr>
          <w:lang w:eastAsia="ja-JP"/>
        </w:rPr>
      </w:pPr>
      <w:r>
        <w:rPr>
          <w:lang w:eastAsia="ja-JP"/>
        </w:rPr>
        <w:t>第二章　基金の設置及び管理</w:t>
      </w:r>
    </w:p>
    <w:p w14:paraId="1F3AB71C" w14:textId="77777777" w:rsidR="001D1F06" w:rsidRDefault="00000000">
      <w:pPr>
        <w:ind w:left="227" w:hanging="227"/>
        <w:rPr>
          <w:lang w:eastAsia="ja-JP"/>
        </w:rPr>
      </w:pPr>
      <w:r>
        <w:rPr>
          <w:lang w:eastAsia="ja-JP"/>
        </w:rPr>
        <w:t>第</w:t>
      </w:r>
      <w:r>
        <w:rPr>
          <w:lang w:eastAsia="ja-JP"/>
        </w:rPr>
        <w:t>3</w:t>
      </w:r>
      <w:r>
        <w:rPr>
          <w:lang w:eastAsia="ja-JP"/>
        </w:rPr>
        <w:t>条（基金の設置）　国は、一般会計に北日本戦略投資基金を設ける。基金は、内閣府において管理する。</w:t>
      </w:r>
    </w:p>
    <w:p w14:paraId="2A8F79C0" w14:textId="77777777" w:rsidR="001D1F06" w:rsidRDefault="00000000">
      <w:pPr>
        <w:ind w:left="227" w:hanging="227"/>
        <w:rPr>
          <w:lang w:eastAsia="ja-JP"/>
        </w:rPr>
      </w:pPr>
      <w:r>
        <w:rPr>
          <w:lang w:eastAsia="ja-JP"/>
        </w:rPr>
        <w:t>第</w:t>
      </w:r>
      <w:r>
        <w:rPr>
          <w:lang w:eastAsia="ja-JP"/>
        </w:rPr>
        <w:t>4</w:t>
      </w:r>
      <w:r>
        <w:rPr>
          <w:lang w:eastAsia="ja-JP"/>
        </w:rPr>
        <w:t>条（財政法との整合）　本基金への資金積立て及び出資は、国会の議決を経た予算の範囲内で行うものとし、財政法の趣旨を損なうものであってはならない。</w:t>
      </w:r>
    </w:p>
    <w:p w14:paraId="5D3E86A7" w14:textId="77777777" w:rsidR="001D1F06" w:rsidRDefault="00000000">
      <w:pPr>
        <w:ind w:left="227" w:hanging="227"/>
        <w:rPr>
          <w:lang w:eastAsia="ja-JP"/>
        </w:rPr>
      </w:pPr>
      <w:r>
        <w:rPr>
          <w:lang w:eastAsia="ja-JP"/>
        </w:rPr>
        <w:t>第</w:t>
      </w:r>
      <w:r>
        <w:rPr>
          <w:lang w:eastAsia="ja-JP"/>
        </w:rPr>
        <w:t>5</w:t>
      </w:r>
      <w:r>
        <w:rPr>
          <w:lang w:eastAsia="ja-JP"/>
        </w:rPr>
        <w:t>条（資金の積立て）　基金には、外為特会において実現した収益のうち一般会計に繰り入れられた額、外貨建資産の満期償還分のうち一般会計に再配分された額、予算で定める政府出資金並びに民間又は外国政府等からの出資金を積み立てることができる。外貨準備資産の市場売却を前提とする拠出は行わない。</w:t>
      </w:r>
    </w:p>
    <w:p w14:paraId="42C08E95" w14:textId="77777777" w:rsidR="001D1F06" w:rsidRDefault="00000000">
      <w:pPr>
        <w:pStyle w:val="1"/>
        <w:rPr>
          <w:lang w:eastAsia="ja-JP"/>
        </w:rPr>
      </w:pPr>
      <w:r>
        <w:rPr>
          <w:lang w:eastAsia="ja-JP"/>
        </w:rPr>
        <w:t>第三章　出資及び運用</w:t>
      </w:r>
    </w:p>
    <w:p w14:paraId="702AC2C4" w14:textId="77777777" w:rsidR="001D1F06" w:rsidRDefault="00000000">
      <w:pPr>
        <w:ind w:left="227" w:hanging="227"/>
        <w:rPr>
          <w:lang w:eastAsia="ja-JP"/>
        </w:rPr>
      </w:pPr>
      <w:r>
        <w:rPr>
          <w:lang w:eastAsia="ja-JP"/>
        </w:rPr>
        <w:t>第</w:t>
      </w:r>
      <w:r>
        <w:rPr>
          <w:lang w:eastAsia="ja-JP"/>
        </w:rPr>
        <w:t>6</w:t>
      </w:r>
      <w:r>
        <w:rPr>
          <w:lang w:eastAsia="ja-JP"/>
        </w:rPr>
        <w:t>条（出資）　政府は、基金を財源として、投資事業有限責任組合その他これに類する形態の投資主体に対し出資することができる。</w:t>
      </w:r>
    </w:p>
    <w:p w14:paraId="337ED4D6" w14:textId="77777777" w:rsidR="001D1F06" w:rsidRDefault="00000000">
      <w:pPr>
        <w:ind w:left="227" w:hanging="227"/>
        <w:rPr>
          <w:lang w:eastAsia="ja-JP"/>
        </w:rPr>
      </w:pPr>
      <w:r>
        <w:rPr>
          <w:lang w:eastAsia="ja-JP"/>
        </w:rPr>
        <w:t>第</w:t>
      </w:r>
      <w:r>
        <w:rPr>
          <w:lang w:eastAsia="ja-JP"/>
        </w:rPr>
        <w:t>7</w:t>
      </w:r>
      <w:r>
        <w:rPr>
          <w:lang w:eastAsia="ja-JP"/>
        </w:rPr>
        <w:t>条（政府の地位）　政府は、有限責任出資者として出資する。</w:t>
      </w:r>
    </w:p>
    <w:p w14:paraId="23B7E47E" w14:textId="77777777" w:rsidR="001D1F06" w:rsidRDefault="00000000">
      <w:pPr>
        <w:ind w:left="227" w:hanging="227"/>
        <w:rPr>
          <w:lang w:eastAsia="ja-JP"/>
        </w:rPr>
      </w:pPr>
      <w:r>
        <w:rPr>
          <w:lang w:eastAsia="ja-JP"/>
        </w:rPr>
        <w:t>第</w:t>
      </w:r>
      <w:r>
        <w:rPr>
          <w:lang w:eastAsia="ja-JP"/>
        </w:rPr>
        <w:t>8</w:t>
      </w:r>
      <w:r>
        <w:rPr>
          <w:lang w:eastAsia="ja-JP"/>
        </w:rPr>
        <w:t>条（個別案件への関与制限）　政府は、出資先の個別投資案件の決定に直接関与してはならない。</w:t>
      </w:r>
    </w:p>
    <w:p w14:paraId="60C58BF0" w14:textId="77777777" w:rsidR="001D1F06" w:rsidRDefault="00000000">
      <w:pPr>
        <w:pStyle w:val="1"/>
        <w:rPr>
          <w:lang w:eastAsia="ja-JP"/>
        </w:rPr>
      </w:pPr>
      <w:r>
        <w:rPr>
          <w:lang w:eastAsia="ja-JP"/>
        </w:rPr>
        <w:t>第四章　投資対象</w:t>
      </w:r>
    </w:p>
    <w:p w14:paraId="1596720C" w14:textId="77777777" w:rsidR="001D1F06" w:rsidRDefault="00000000">
      <w:pPr>
        <w:ind w:left="227" w:hanging="227"/>
        <w:rPr>
          <w:lang w:eastAsia="ja-JP"/>
        </w:rPr>
      </w:pPr>
      <w:r>
        <w:rPr>
          <w:lang w:eastAsia="ja-JP"/>
        </w:rPr>
        <w:t>第</w:t>
      </w:r>
      <w:r>
        <w:rPr>
          <w:lang w:eastAsia="ja-JP"/>
        </w:rPr>
        <w:t>9</w:t>
      </w:r>
      <w:r>
        <w:rPr>
          <w:lang w:eastAsia="ja-JP"/>
        </w:rPr>
        <w:t>条（対象事業）　基金の出資対象は、エネルギー基盤整備、半導体後工程及び関連産業基盤、港湾及び空港機能強化、計算資本及びデータ基盤整備並びに国際共同投資事業に限定する。</w:t>
      </w:r>
    </w:p>
    <w:p w14:paraId="47A1F380" w14:textId="77777777" w:rsidR="001D1F06" w:rsidRDefault="00000000">
      <w:pPr>
        <w:ind w:left="227" w:hanging="227"/>
        <w:rPr>
          <w:lang w:eastAsia="ja-JP"/>
        </w:rPr>
      </w:pPr>
      <w:r>
        <w:rPr>
          <w:lang w:eastAsia="ja-JP"/>
        </w:rPr>
        <w:t>２　防衛装備の取得又は軍事目的の投資は対象としない。</w:t>
      </w:r>
    </w:p>
    <w:p w14:paraId="2B0757BC" w14:textId="77777777" w:rsidR="001D1F06" w:rsidRDefault="00000000">
      <w:pPr>
        <w:pStyle w:val="1"/>
        <w:rPr>
          <w:lang w:eastAsia="ja-JP"/>
        </w:rPr>
      </w:pPr>
      <w:r>
        <w:rPr>
          <w:lang w:eastAsia="ja-JP"/>
        </w:rPr>
        <w:t>第五章　財政規律及び監督</w:t>
      </w:r>
    </w:p>
    <w:p w14:paraId="53BD7FCB" w14:textId="77777777" w:rsidR="001D1F06" w:rsidRDefault="00000000">
      <w:pPr>
        <w:ind w:left="227" w:hanging="227"/>
        <w:rPr>
          <w:lang w:eastAsia="ja-JP"/>
        </w:rPr>
      </w:pPr>
      <w:r>
        <w:rPr>
          <w:lang w:eastAsia="ja-JP"/>
        </w:rPr>
        <w:t>第</w:t>
      </w:r>
      <w:r>
        <w:rPr>
          <w:lang w:eastAsia="ja-JP"/>
        </w:rPr>
        <w:t>10</w:t>
      </w:r>
      <w:r>
        <w:rPr>
          <w:lang w:eastAsia="ja-JP"/>
        </w:rPr>
        <w:t>条（存続期間）　基金は、この法律の施行の日から十五年間存続する。</w:t>
      </w:r>
    </w:p>
    <w:p w14:paraId="27DC66F0" w14:textId="77777777" w:rsidR="001D1F06" w:rsidRDefault="00000000">
      <w:pPr>
        <w:ind w:left="227" w:hanging="227"/>
        <w:rPr>
          <w:lang w:eastAsia="ja-JP"/>
        </w:rPr>
      </w:pPr>
      <w:r>
        <w:rPr>
          <w:lang w:eastAsia="ja-JP"/>
        </w:rPr>
        <w:t>第</w:t>
      </w:r>
      <w:r>
        <w:rPr>
          <w:lang w:eastAsia="ja-JP"/>
        </w:rPr>
        <w:t>11</w:t>
      </w:r>
      <w:r>
        <w:rPr>
          <w:lang w:eastAsia="ja-JP"/>
        </w:rPr>
        <w:t>条（中間評価）　政府は、基金設立後五年を経過した時点で成果評価を行い、その結果を国会に報告する。</w:t>
      </w:r>
    </w:p>
    <w:p w14:paraId="4D65D702" w14:textId="77777777" w:rsidR="001D1F06" w:rsidRDefault="00000000">
      <w:pPr>
        <w:ind w:left="227" w:hanging="227"/>
        <w:rPr>
          <w:lang w:eastAsia="ja-JP"/>
        </w:rPr>
      </w:pPr>
      <w:r>
        <w:rPr>
          <w:lang w:eastAsia="ja-JP"/>
        </w:rPr>
        <w:t>第</w:t>
      </w:r>
      <w:r>
        <w:rPr>
          <w:lang w:eastAsia="ja-JP"/>
        </w:rPr>
        <w:t>12</w:t>
      </w:r>
      <w:r>
        <w:rPr>
          <w:lang w:eastAsia="ja-JP"/>
        </w:rPr>
        <w:t>条（金利条項）　長期国債の利回りが三パーセントを超える状態が一定期間継続した場合には、政府は新規出資を停止する。</w:t>
      </w:r>
    </w:p>
    <w:p w14:paraId="56F64F0D" w14:textId="77777777" w:rsidR="001D1F06" w:rsidRDefault="00000000">
      <w:pPr>
        <w:ind w:left="227" w:hanging="227"/>
        <w:rPr>
          <w:lang w:eastAsia="ja-JP"/>
        </w:rPr>
      </w:pPr>
      <w:r>
        <w:rPr>
          <w:lang w:eastAsia="ja-JP"/>
        </w:rPr>
        <w:t>第</w:t>
      </w:r>
      <w:r>
        <w:rPr>
          <w:lang w:eastAsia="ja-JP"/>
        </w:rPr>
        <w:t>13</w:t>
      </w:r>
      <w:r>
        <w:rPr>
          <w:lang w:eastAsia="ja-JP"/>
        </w:rPr>
        <w:t>条（会計検査院による監査）　基金の管理及び出資に関する会計は、会計検査院の検査対象とする。</w:t>
      </w:r>
    </w:p>
    <w:p w14:paraId="42439212" w14:textId="77777777" w:rsidR="001D1F06" w:rsidRDefault="00000000">
      <w:pPr>
        <w:ind w:left="227" w:hanging="227"/>
        <w:rPr>
          <w:lang w:eastAsia="ja-JP"/>
        </w:rPr>
      </w:pPr>
      <w:r>
        <w:rPr>
          <w:lang w:eastAsia="ja-JP"/>
        </w:rPr>
        <w:t>第</w:t>
      </w:r>
      <w:r>
        <w:rPr>
          <w:lang w:eastAsia="ja-JP"/>
        </w:rPr>
        <w:t>14</w:t>
      </w:r>
      <w:r>
        <w:rPr>
          <w:lang w:eastAsia="ja-JP"/>
        </w:rPr>
        <w:t>条（報告）　政府は、毎年度、基金の運用状況及び財務状況を国会に報告しなければならない。</w:t>
      </w:r>
    </w:p>
    <w:p w14:paraId="3547890B" w14:textId="77777777" w:rsidR="001D1F06" w:rsidRDefault="00000000">
      <w:pPr>
        <w:pStyle w:val="1"/>
        <w:rPr>
          <w:lang w:eastAsia="ja-JP"/>
        </w:rPr>
      </w:pPr>
      <w:r>
        <w:rPr>
          <w:lang w:eastAsia="ja-JP"/>
        </w:rPr>
        <w:lastRenderedPageBreak/>
        <w:t>第六章　解散及び残余財産</w:t>
      </w:r>
    </w:p>
    <w:p w14:paraId="14612FEF" w14:textId="77777777" w:rsidR="001D1F06" w:rsidRDefault="00000000">
      <w:pPr>
        <w:ind w:left="227" w:hanging="227"/>
        <w:rPr>
          <w:lang w:eastAsia="ja-JP"/>
        </w:rPr>
      </w:pPr>
      <w:r>
        <w:rPr>
          <w:lang w:eastAsia="ja-JP"/>
        </w:rPr>
        <w:t>第</w:t>
      </w:r>
      <w:r>
        <w:rPr>
          <w:lang w:eastAsia="ja-JP"/>
        </w:rPr>
        <w:t>15</w:t>
      </w:r>
      <w:r>
        <w:rPr>
          <w:lang w:eastAsia="ja-JP"/>
        </w:rPr>
        <w:t>条（解散）　基金は、第</w:t>
      </w:r>
      <w:r>
        <w:rPr>
          <w:lang w:eastAsia="ja-JP"/>
        </w:rPr>
        <w:t>10</w:t>
      </w:r>
      <w:r>
        <w:rPr>
          <w:lang w:eastAsia="ja-JP"/>
        </w:rPr>
        <w:t>条に規定する期間満了をもって解散する。</w:t>
      </w:r>
    </w:p>
    <w:p w14:paraId="6F789B7E" w14:textId="77777777" w:rsidR="001D1F06" w:rsidRDefault="00000000">
      <w:pPr>
        <w:ind w:left="227" w:hanging="227"/>
        <w:rPr>
          <w:lang w:eastAsia="ja-JP"/>
        </w:rPr>
      </w:pPr>
      <w:r>
        <w:rPr>
          <w:lang w:eastAsia="ja-JP"/>
        </w:rPr>
        <w:t>第</w:t>
      </w:r>
      <w:r>
        <w:rPr>
          <w:lang w:eastAsia="ja-JP"/>
        </w:rPr>
        <w:t>16</w:t>
      </w:r>
      <w:r>
        <w:rPr>
          <w:lang w:eastAsia="ja-JP"/>
        </w:rPr>
        <w:t>条（残余財産の帰属）　基金の解散時に残余財産がある場合には、当該財産は一般会計に帰属する。</w:t>
      </w:r>
    </w:p>
    <w:p w14:paraId="00F22F68" w14:textId="77777777" w:rsidR="001D1F06" w:rsidRDefault="00000000">
      <w:pPr>
        <w:pStyle w:val="1"/>
        <w:rPr>
          <w:lang w:eastAsia="ja-JP"/>
        </w:rPr>
      </w:pPr>
      <w:r>
        <w:rPr>
          <w:lang w:eastAsia="ja-JP"/>
        </w:rPr>
        <w:t>附則</w:t>
      </w:r>
    </w:p>
    <w:p w14:paraId="66115B5B" w14:textId="77777777" w:rsidR="001D1F06" w:rsidRDefault="00000000">
      <w:pPr>
        <w:ind w:left="227" w:hanging="227"/>
        <w:rPr>
          <w:lang w:eastAsia="ja-JP"/>
        </w:rPr>
      </w:pPr>
      <w:r>
        <w:rPr>
          <w:lang w:eastAsia="ja-JP"/>
        </w:rPr>
        <w:t>１　本法は公布の日から六か月以内に施行する。</w:t>
      </w:r>
    </w:p>
    <w:p w14:paraId="42EAA334" w14:textId="77777777" w:rsidR="001D1F06" w:rsidRDefault="00000000">
      <w:pPr>
        <w:ind w:left="227" w:hanging="227"/>
        <w:rPr>
          <w:lang w:eastAsia="ja-JP"/>
        </w:rPr>
      </w:pPr>
      <w:r>
        <w:rPr>
          <w:lang w:eastAsia="ja-JP"/>
        </w:rPr>
        <w:t>２　必要な政令は別に定める。</w:t>
      </w:r>
    </w:p>
    <w:tbl>
      <w:tblPr>
        <w:tblStyle w:val="afe"/>
        <w:tblW w:w="0" w:type="auto"/>
        <w:tblLook w:val="04A0" w:firstRow="1" w:lastRow="0" w:firstColumn="1" w:lastColumn="0" w:noHBand="0" w:noVBand="1"/>
      </w:tblPr>
      <w:tblGrid>
        <w:gridCol w:w="9746"/>
      </w:tblGrid>
      <w:tr w:rsidR="001D1F06" w14:paraId="6121A2AB" w14:textId="77777777">
        <w:tc>
          <w:tcPr>
            <w:tcW w:w="9746" w:type="dxa"/>
            <w:tcMar>
              <w:top w:w="120" w:type="dxa"/>
              <w:left w:w="120" w:type="dxa"/>
              <w:bottom w:w="120" w:type="dxa"/>
              <w:right w:w="120" w:type="dxa"/>
            </w:tcMar>
          </w:tcPr>
          <w:p w14:paraId="3E83CB78" w14:textId="77777777" w:rsidR="001D1F06" w:rsidRDefault="00000000">
            <w:pPr>
              <w:rPr>
                <w:lang w:eastAsia="ja-JP"/>
              </w:rPr>
            </w:pPr>
            <w:r>
              <w:rPr>
                <w:sz w:val="19"/>
                <w:lang w:eastAsia="ja-JP"/>
              </w:rPr>
              <w:t>別添の位置づけ：本骨子案は、制度化に当たり想定される法律事項、統制装置及び除外規定を整理するための参考素材であり、正式な法案要綱又は条文確定案ではない。</w:t>
            </w:r>
          </w:p>
        </w:tc>
      </w:tr>
    </w:tbl>
    <w:p w14:paraId="626A5F6C" w14:textId="77777777" w:rsidR="009211DA" w:rsidRDefault="009211DA">
      <w:pPr>
        <w:rPr>
          <w:lang w:eastAsia="ja-JP"/>
        </w:rPr>
      </w:pPr>
    </w:p>
    <w:sectPr w:rsidR="009211DA" w:rsidSect="00034616">
      <w:pgSz w:w="12240" w:h="15840"/>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272827395">
    <w:abstractNumId w:val="8"/>
  </w:num>
  <w:num w:numId="2" w16cid:durableId="621423931">
    <w:abstractNumId w:val="6"/>
  </w:num>
  <w:num w:numId="3" w16cid:durableId="1298145589">
    <w:abstractNumId w:val="5"/>
  </w:num>
  <w:num w:numId="4" w16cid:durableId="1115252930">
    <w:abstractNumId w:val="4"/>
  </w:num>
  <w:num w:numId="5" w16cid:durableId="1512068946">
    <w:abstractNumId w:val="7"/>
  </w:num>
  <w:num w:numId="6" w16cid:durableId="1768188914">
    <w:abstractNumId w:val="3"/>
  </w:num>
  <w:num w:numId="7" w16cid:durableId="2137940897">
    <w:abstractNumId w:val="2"/>
  </w:num>
  <w:num w:numId="8" w16cid:durableId="495387249">
    <w:abstractNumId w:val="1"/>
  </w:num>
  <w:num w:numId="9" w16cid:durableId="1949727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D1F06"/>
    <w:rsid w:val="0029639D"/>
    <w:rsid w:val="00326F90"/>
    <w:rsid w:val="003820BB"/>
    <w:rsid w:val="009211DA"/>
    <w:rsid w:val="00AA1D8D"/>
    <w:rsid w:val="00B47730"/>
    <w:rsid w:val="00CB0664"/>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40CB8C11"/>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after="60" w:line="240" w:lineRule="auto"/>
    </w:pPr>
    <w:rPr>
      <w:rFonts w:ascii="Times New Roman" w:eastAsia="ＭＳ 明朝" w:hAnsi="Times New Roman"/>
      <w:sz w:val="21"/>
    </w:rPr>
  </w:style>
  <w:style w:type="paragraph" w:styleId="1">
    <w:name w:val="heading 1"/>
    <w:basedOn w:val="a1"/>
    <w:next w:val="a1"/>
    <w:link w:val="10"/>
    <w:uiPriority w:val="9"/>
    <w:qFormat/>
    <w:rsid w:val="00FC693F"/>
    <w:pPr>
      <w:keepNext/>
      <w:keepLines/>
      <w:spacing w:before="200" w:after="80"/>
      <w:outlineLvl w:val="0"/>
    </w:pPr>
    <w:rPr>
      <w:rFonts w:asciiTheme="majorHAnsi" w:eastAsiaTheme="majorEastAsia" w:hAnsiTheme="majorHAnsi" w:cstheme="majorBidi"/>
      <w:b/>
      <w:bCs/>
      <w:color w:val="222222"/>
      <w:sz w:val="26"/>
      <w:szCs w:val="28"/>
    </w:rPr>
  </w:style>
  <w:style w:type="paragraph" w:styleId="21">
    <w:name w:val="heading 2"/>
    <w:basedOn w:val="a1"/>
    <w:next w:val="a1"/>
    <w:link w:val="22"/>
    <w:uiPriority w:val="9"/>
    <w:unhideWhenUsed/>
    <w:qFormat/>
    <w:rsid w:val="00FC693F"/>
    <w:pPr>
      <w:keepNext/>
      <w:keepLines/>
      <w:spacing w:before="160" w:after="4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3820BB"/>
    <w:pPr>
      <w:spacing w:after="160" w:line="288" w:lineRule="auto"/>
      <w:jc w:val="right"/>
    </w:pPr>
    <w:rPr>
      <w:rFonts w:ascii="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2026-04-13T11:06:00Z</dcterms:modified>
  <cp:category/>
</cp:coreProperties>
</file>