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C250F" w14:textId="77777777" w:rsidR="004B5223" w:rsidRDefault="00000000">
      <w:pPr>
        <w:pStyle w:val="aa"/>
        <w:jc w:val="center"/>
        <w:rPr>
          <w:lang w:eastAsia="ja-JP"/>
        </w:rPr>
      </w:pPr>
      <w:r>
        <w:rPr>
          <w:lang w:eastAsia="ja-JP"/>
        </w:rPr>
        <w:t>別紙</w:t>
      </w:r>
      <w:r>
        <w:rPr>
          <w:lang w:eastAsia="ja-JP"/>
        </w:rPr>
        <w:t>A</w:t>
      </w:r>
      <w:r>
        <w:rPr>
          <w:lang w:eastAsia="ja-JP"/>
        </w:rPr>
        <w:t xml:space="preserve">　災害・物流データ集</w:t>
      </w:r>
    </w:p>
    <w:p w14:paraId="7DE6A57C" w14:textId="77777777" w:rsidR="004B5223" w:rsidRDefault="00000000">
      <w:pPr>
        <w:pStyle w:val="ac"/>
        <w:jc w:val="center"/>
      </w:pPr>
      <w:proofErr w:type="spellStart"/>
      <w:r>
        <w:t>北日本戦略再設計構想</w:t>
      </w:r>
      <w:proofErr w:type="spellEnd"/>
      <w:r>
        <w:t xml:space="preserve"> </w:t>
      </w:r>
      <w:proofErr w:type="spellStart"/>
      <w:r>
        <w:t>付属資料</w:t>
      </w:r>
      <w:proofErr w:type="spellEnd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46"/>
      </w:tblGrid>
      <w:tr w:rsidR="004B5223" w14:paraId="60FDE95C" w14:textId="77777777">
        <w:trPr>
          <w:jc w:val="center"/>
        </w:trPr>
        <w:tc>
          <w:tcPr>
            <w:tcW w:w="9746" w:type="dxa"/>
            <w:shd w:val="clear" w:color="auto" w:fill="F4EEE4"/>
            <w:vAlign w:val="center"/>
          </w:tcPr>
          <w:p w14:paraId="14677B9D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本文版で扱う「首都圏集中リスク」「物流偏在」「なぜ青森か」を支える代表データと整理を収録。本文では代表値のみを使用し、本別紙では比較・補足・整理を担う。</w:t>
            </w:r>
          </w:p>
        </w:tc>
      </w:tr>
    </w:tbl>
    <w:p w14:paraId="07EE5886" w14:textId="77777777" w:rsidR="004B5223" w:rsidRDefault="004B5223">
      <w:pPr>
        <w:rPr>
          <w:rFonts w:hint="eastAsia"/>
          <w:lang w:eastAsia="ja-JP"/>
        </w:rPr>
      </w:pPr>
    </w:p>
    <w:p w14:paraId="5DC6C7F2" w14:textId="77777777" w:rsidR="004B5223" w:rsidRDefault="00000000">
      <w:pPr>
        <w:pStyle w:val="1"/>
        <w:rPr>
          <w:lang w:eastAsia="ja-JP"/>
        </w:rPr>
      </w:pPr>
      <w:r>
        <w:rPr>
          <w:lang w:eastAsia="ja-JP"/>
        </w:rPr>
        <w:t xml:space="preserve">A-1. </w:t>
      </w:r>
      <w:r>
        <w:rPr>
          <w:lang w:eastAsia="ja-JP"/>
        </w:rPr>
        <w:t>役割</w:t>
      </w:r>
    </w:p>
    <w:p w14:paraId="2DF182C1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・首都圏集中リスクの代表値を示し、なぜ「沈まない構造」が必要かを補強する。</w:t>
      </w:r>
    </w:p>
    <w:p w14:paraId="2531F8E9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・津軽海峡・北極海航路・主要港湾の観点から、青森の物流結節点としての意味を整理する。</w:t>
      </w:r>
    </w:p>
    <w:p w14:paraId="0926D179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・本文では省略した比較・補足を、政策説明用の資料として再利用しやすい形でまとめる。</w:t>
      </w:r>
    </w:p>
    <w:p w14:paraId="313EC5BB" w14:textId="77777777" w:rsidR="004B5223" w:rsidRDefault="00000000">
      <w:pPr>
        <w:pStyle w:val="21"/>
        <w:rPr>
          <w:lang w:eastAsia="ja-JP"/>
        </w:rPr>
      </w:pPr>
      <w:r>
        <w:rPr>
          <w:lang w:eastAsia="ja-JP"/>
        </w:rPr>
        <w:t xml:space="preserve">A-2. </w:t>
      </w:r>
      <w:r>
        <w:rPr>
          <w:lang w:eastAsia="ja-JP"/>
        </w:rPr>
        <w:t>首都圏集中リスクの代表値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2381"/>
        <w:gridCol w:w="4535"/>
      </w:tblGrid>
      <w:tr w:rsidR="004B5223" w14:paraId="25D0B88F" w14:textId="77777777">
        <w:trPr>
          <w:tblHeader/>
          <w:jc w:val="center"/>
        </w:trPr>
        <w:tc>
          <w:tcPr>
            <w:tcW w:w="2268" w:type="dxa"/>
            <w:shd w:val="clear" w:color="auto" w:fill="E8DFD1"/>
            <w:vAlign w:val="center"/>
          </w:tcPr>
          <w:p w14:paraId="5034684E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項目</w:t>
            </w:r>
            <w:proofErr w:type="spellEnd"/>
          </w:p>
        </w:tc>
        <w:tc>
          <w:tcPr>
            <w:tcW w:w="2381" w:type="dxa"/>
            <w:shd w:val="clear" w:color="auto" w:fill="E8DFD1"/>
            <w:vAlign w:val="center"/>
          </w:tcPr>
          <w:p w14:paraId="05925C38" w14:textId="77777777" w:rsidR="004B5223" w:rsidRDefault="00000000">
            <w:pPr>
              <w:jc w:val="center"/>
              <w:rPr>
                <w:rFonts w:hint="eastAsia"/>
              </w:rPr>
            </w:pPr>
            <w:r>
              <w:t>代表値</w:t>
            </w:r>
            <w:r>
              <w:t xml:space="preserve"> / </w:t>
            </w:r>
            <w:r>
              <w:t>状況</w:t>
            </w:r>
          </w:p>
        </w:tc>
        <w:tc>
          <w:tcPr>
            <w:tcW w:w="4535" w:type="dxa"/>
            <w:shd w:val="clear" w:color="auto" w:fill="E8DFD1"/>
            <w:vAlign w:val="center"/>
          </w:tcPr>
          <w:p w14:paraId="5AE888B0" w14:textId="77777777" w:rsidR="004B5223" w:rsidRDefault="00000000">
            <w:pPr>
              <w:jc w:val="center"/>
              <w:rPr>
                <w:rFonts w:hint="eastAsia"/>
              </w:rPr>
            </w:pPr>
            <w:r>
              <w:t>政策上の意味</w:t>
            </w:r>
          </w:p>
        </w:tc>
      </w:tr>
      <w:tr w:rsidR="004B5223" w14:paraId="141F3357" w14:textId="77777777">
        <w:trPr>
          <w:jc w:val="center"/>
        </w:trPr>
        <w:tc>
          <w:tcPr>
            <w:tcW w:w="2268" w:type="dxa"/>
            <w:vAlign w:val="center"/>
          </w:tcPr>
          <w:p w14:paraId="5344F9A6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首都直下地震の経済被害</w:t>
            </w:r>
          </w:p>
        </w:tc>
        <w:tc>
          <w:tcPr>
            <w:tcW w:w="2381" w:type="dxa"/>
            <w:vAlign w:val="center"/>
          </w:tcPr>
          <w:p w14:paraId="182A3BE2" w14:textId="77777777" w:rsidR="004B5223" w:rsidRDefault="00000000">
            <w:pPr>
              <w:jc w:val="center"/>
              <w:rPr>
                <w:rFonts w:hint="eastAsia"/>
              </w:rPr>
            </w:pPr>
            <w:r>
              <w:t>約</w:t>
            </w:r>
            <w:r>
              <w:t>95</w:t>
            </w:r>
            <w:r>
              <w:t>兆円規模</w:t>
            </w:r>
          </w:p>
        </w:tc>
        <w:tc>
          <w:tcPr>
            <w:tcW w:w="4535" w:type="dxa"/>
            <w:vAlign w:val="center"/>
          </w:tcPr>
          <w:p w14:paraId="27481A21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国家機能・金融・物流の同時停止リスクを示す代表値</w:t>
            </w:r>
          </w:p>
        </w:tc>
      </w:tr>
      <w:tr w:rsidR="004B5223" w14:paraId="04404D1F" w14:textId="77777777">
        <w:trPr>
          <w:jc w:val="center"/>
        </w:trPr>
        <w:tc>
          <w:tcPr>
            <w:tcW w:w="2268" w:type="dxa"/>
            <w:vAlign w:val="center"/>
          </w:tcPr>
          <w:p w14:paraId="0C0151CC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南海トラフ巨大地震の経済被害</w:t>
            </w:r>
          </w:p>
        </w:tc>
        <w:tc>
          <w:tcPr>
            <w:tcW w:w="2381" w:type="dxa"/>
            <w:vAlign w:val="center"/>
          </w:tcPr>
          <w:p w14:paraId="29ABB3A3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甚大（長期・広域</w:t>
            </w:r>
            <w:proofErr w:type="spellEnd"/>
            <w:r>
              <w:t>）</w:t>
            </w:r>
          </w:p>
        </w:tc>
        <w:tc>
          <w:tcPr>
            <w:tcW w:w="4535" w:type="dxa"/>
            <w:vAlign w:val="center"/>
          </w:tcPr>
          <w:p w14:paraId="3B17345B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西日本側の長期機能低下に備えた北側冗長化が必要</w:t>
            </w:r>
          </w:p>
        </w:tc>
      </w:tr>
      <w:tr w:rsidR="004B5223" w14:paraId="49C1DB0E" w14:textId="77777777">
        <w:trPr>
          <w:jc w:val="center"/>
        </w:trPr>
        <w:tc>
          <w:tcPr>
            <w:tcW w:w="2268" w:type="dxa"/>
            <w:vAlign w:val="center"/>
          </w:tcPr>
          <w:p w14:paraId="31DB4B5F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人口・行政・金融の集中</w:t>
            </w:r>
          </w:p>
        </w:tc>
        <w:tc>
          <w:tcPr>
            <w:tcW w:w="2381" w:type="dxa"/>
            <w:vAlign w:val="center"/>
          </w:tcPr>
          <w:p w14:paraId="44E73C53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首都圏偏在</w:t>
            </w:r>
            <w:proofErr w:type="spellEnd"/>
          </w:p>
        </w:tc>
        <w:tc>
          <w:tcPr>
            <w:tcW w:w="4535" w:type="dxa"/>
            <w:vAlign w:val="center"/>
          </w:tcPr>
          <w:p w14:paraId="76021A8F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一極集中は平時効率の反面、災害時には単一障害点となる</w:t>
            </w:r>
          </w:p>
        </w:tc>
      </w:tr>
      <w:tr w:rsidR="004B5223" w14:paraId="59BF1AA6" w14:textId="77777777">
        <w:trPr>
          <w:jc w:val="center"/>
        </w:trPr>
        <w:tc>
          <w:tcPr>
            <w:tcW w:w="2268" w:type="dxa"/>
            <w:vAlign w:val="center"/>
          </w:tcPr>
          <w:p w14:paraId="2CFD92B6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物流停止時の影響</w:t>
            </w:r>
            <w:proofErr w:type="spellEnd"/>
          </w:p>
        </w:tc>
        <w:tc>
          <w:tcPr>
            <w:tcW w:w="2381" w:type="dxa"/>
            <w:vAlign w:val="center"/>
          </w:tcPr>
          <w:p w14:paraId="16F215CE" w14:textId="77777777" w:rsidR="004B5223" w:rsidRDefault="00000000">
            <w:pPr>
              <w:jc w:val="center"/>
              <w:rPr>
                <w:rFonts w:hint="eastAsia"/>
              </w:rPr>
            </w:pPr>
            <w:r>
              <w:t>全国波及型</w:t>
            </w:r>
          </w:p>
        </w:tc>
        <w:tc>
          <w:tcPr>
            <w:tcW w:w="4535" w:type="dxa"/>
            <w:vAlign w:val="center"/>
          </w:tcPr>
          <w:p w14:paraId="603B3076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港湾・空港・道路・計算基盤の分散が国家継続性の条件になる</w:t>
            </w:r>
          </w:p>
        </w:tc>
      </w:tr>
    </w:tbl>
    <w:p w14:paraId="136E2ED8" w14:textId="77777777" w:rsidR="004B5223" w:rsidRDefault="004B5223">
      <w:pPr>
        <w:rPr>
          <w:rFonts w:hint="eastAsia"/>
          <w:lang w:eastAsia="ja-JP"/>
        </w:rPr>
      </w:pPr>
    </w:p>
    <w:p w14:paraId="0507D476" w14:textId="77777777" w:rsidR="004B5223" w:rsidRDefault="00000000">
      <w:pPr>
        <w:pStyle w:val="1"/>
        <w:rPr>
          <w:lang w:eastAsia="ja-JP"/>
        </w:rPr>
      </w:pPr>
      <w:r>
        <w:rPr>
          <w:lang w:eastAsia="ja-JP"/>
        </w:rPr>
        <w:t xml:space="preserve">A-3. </w:t>
      </w:r>
      <w:r>
        <w:rPr>
          <w:lang w:eastAsia="ja-JP"/>
        </w:rPr>
        <w:t>災害時に止まりやすい機能</w:t>
      </w:r>
    </w:p>
    <w:p w14:paraId="186E6AFE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・政治・行政中枢</w:t>
      </w:r>
    </w:p>
    <w:p w14:paraId="5F0B479F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・金融決済・情報系統</w:t>
      </w:r>
    </w:p>
    <w:p w14:paraId="4EC78530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・首都圏依存の広域物流</w:t>
      </w:r>
    </w:p>
    <w:p w14:paraId="574D67E4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・関東偏在の指揮・後方兵站</w:t>
      </w:r>
    </w:p>
    <w:p w14:paraId="4F976D6B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・大規模データセンター・計算基盤の偏在</w:t>
      </w:r>
    </w:p>
    <w:p w14:paraId="7F4D88AB" w14:textId="77777777" w:rsidR="004B5223" w:rsidRDefault="00000000">
      <w:pPr>
        <w:pStyle w:val="21"/>
      </w:pPr>
      <w:r>
        <w:lastRenderedPageBreak/>
        <w:t xml:space="preserve">A-4. </w:t>
      </w:r>
      <w:proofErr w:type="spellStart"/>
      <w:r>
        <w:t>青森を軸に見る物流比較（代表整理</w:t>
      </w:r>
      <w:proofErr w:type="spellEnd"/>
      <w:r>
        <w:t>）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814"/>
        <w:gridCol w:w="4535"/>
        <w:gridCol w:w="2835"/>
      </w:tblGrid>
      <w:tr w:rsidR="004B5223" w14:paraId="06147D04" w14:textId="77777777">
        <w:trPr>
          <w:tblHeader/>
          <w:jc w:val="center"/>
        </w:trPr>
        <w:tc>
          <w:tcPr>
            <w:tcW w:w="1814" w:type="dxa"/>
            <w:shd w:val="clear" w:color="auto" w:fill="E8DFD1"/>
            <w:vAlign w:val="center"/>
          </w:tcPr>
          <w:p w14:paraId="5C81106A" w14:textId="77777777" w:rsidR="004B5223" w:rsidRDefault="00000000">
            <w:pPr>
              <w:jc w:val="center"/>
              <w:rPr>
                <w:rFonts w:hint="eastAsia"/>
              </w:rPr>
            </w:pPr>
            <w:r>
              <w:t>論点</w:t>
            </w:r>
          </w:p>
        </w:tc>
        <w:tc>
          <w:tcPr>
            <w:tcW w:w="4535" w:type="dxa"/>
            <w:shd w:val="clear" w:color="auto" w:fill="E8DFD1"/>
            <w:vAlign w:val="center"/>
          </w:tcPr>
          <w:p w14:paraId="5E5F9BEE" w14:textId="77777777" w:rsidR="004B5223" w:rsidRDefault="00000000">
            <w:pPr>
              <w:jc w:val="center"/>
              <w:rPr>
                <w:rFonts w:hint="eastAsia"/>
              </w:rPr>
            </w:pPr>
            <w:r>
              <w:t>青森側の意味</w:t>
            </w:r>
          </w:p>
        </w:tc>
        <w:tc>
          <w:tcPr>
            <w:tcW w:w="2835" w:type="dxa"/>
            <w:shd w:val="clear" w:color="auto" w:fill="E8DFD1"/>
            <w:vAlign w:val="center"/>
          </w:tcPr>
          <w:p w14:paraId="14EDE91B" w14:textId="77777777" w:rsidR="004B5223" w:rsidRDefault="00000000">
            <w:pPr>
              <w:jc w:val="center"/>
              <w:rPr>
                <w:rFonts w:hint="eastAsia"/>
              </w:rPr>
            </w:pPr>
            <w:r>
              <w:t>本文での使い方</w:t>
            </w:r>
          </w:p>
        </w:tc>
      </w:tr>
      <w:tr w:rsidR="004B5223" w14:paraId="5C492D10" w14:textId="77777777">
        <w:trPr>
          <w:jc w:val="center"/>
        </w:trPr>
        <w:tc>
          <w:tcPr>
            <w:tcW w:w="1814" w:type="dxa"/>
            <w:vAlign w:val="center"/>
          </w:tcPr>
          <w:p w14:paraId="5B0CAB83" w14:textId="77777777" w:rsidR="004B5223" w:rsidRDefault="00000000">
            <w:pPr>
              <w:jc w:val="center"/>
              <w:rPr>
                <w:rFonts w:hint="eastAsia"/>
              </w:rPr>
            </w:pPr>
            <w:r>
              <w:t>津軽海峡</w:t>
            </w:r>
          </w:p>
        </w:tc>
        <w:tc>
          <w:tcPr>
            <w:tcW w:w="4535" w:type="dxa"/>
            <w:vAlign w:val="center"/>
          </w:tcPr>
          <w:p w14:paraId="101CAF1D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日本海側と太平洋側を結ぶ結節点</w:t>
            </w:r>
          </w:p>
        </w:tc>
        <w:tc>
          <w:tcPr>
            <w:tcW w:w="2835" w:type="dxa"/>
            <w:vAlign w:val="center"/>
          </w:tcPr>
          <w:p w14:paraId="37769BF1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「なぜ青森か」を一文で示す代表論点</w:t>
            </w:r>
          </w:p>
        </w:tc>
      </w:tr>
      <w:tr w:rsidR="004B5223" w14:paraId="119F877E" w14:textId="77777777">
        <w:trPr>
          <w:jc w:val="center"/>
        </w:trPr>
        <w:tc>
          <w:tcPr>
            <w:tcW w:w="1814" w:type="dxa"/>
            <w:vAlign w:val="center"/>
          </w:tcPr>
          <w:p w14:paraId="7E52A7B5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陸奥湾</w:t>
            </w:r>
            <w:proofErr w:type="spellEnd"/>
          </w:p>
        </w:tc>
        <w:tc>
          <w:tcPr>
            <w:tcW w:w="4535" w:type="dxa"/>
            <w:vAlign w:val="center"/>
          </w:tcPr>
          <w:p w14:paraId="43F8D658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内湾性があり、メガフロート・港湾基盤の検討余地が高い</w:t>
            </w:r>
          </w:p>
        </w:tc>
        <w:tc>
          <w:tcPr>
            <w:tcW w:w="2835" w:type="dxa"/>
            <w:vAlign w:val="center"/>
          </w:tcPr>
          <w:p w14:paraId="3C43D718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立地優位の説明に使用</w:t>
            </w:r>
          </w:p>
        </w:tc>
      </w:tr>
      <w:tr w:rsidR="004B5223" w14:paraId="7E0744A0" w14:textId="77777777">
        <w:trPr>
          <w:jc w:val="center"/>
        </w:trPr>
        <w:tc>
          <w:tcPr>
            <w:tcW w:w="1814" w:type="dxa"/>
            <w:vAlign w:val="center"/>
          </w:tcPr>
          <w:p w14:paraId="301DA319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青森港</w:t>
            </w:r>
            <w:proofErr w:type="spellEnd"/>
          </w:p>
        </w:tc>
        <w:tc>
          <w:tcPr>
            <w:tcW w:w="4535" w:type="dxa"/>
            <w:vAlign w:val="center"/>
          </w:tcPr>
          <w:p w14:paraId="7C06C401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地域物流・湾内アクセスの基点</w:t>
            </w:r>
          </w:p>
        </w:tc>
        <w:tc>
          <w:tcPr>
            <w:tcW w:w="2835" w:type="dxa"/>
            <w:vAlign w:val="center"/>
          </w:tcPr>
          <w:p w14:paraId="2A9A56F8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陸奥湾側の役割を示す</w:t>
            </w:r>
          </w:p>
        </w:tc>
      </w:tr>
      <w:tr w:rsidR="004B5223" w14:paraId="585648C1" w14:textId="77777777">
        <w:trPr>
          <w:jc w:val="center"/>
        </w:trPr>
        <w:tc>
          <w:tcPr>
            <w:tcW w:w="1814" w:type="dxa"/>
            <w:vAlign w:val="center"/>
          </w:tcPr>
          <w:p w14:paraId="77E0BAD6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八戸港</w:t>
            </w:r>
            <w:proofErr w:type="spellEnd"/>
          </w:p>
        </w:tc>
        <w:tc>
          <w:tcPr>
            <w:tcW w:w="4535" w:type="dxa"/>
            <w:vAlign w:val="center"/>
          </w:tcPr>
          <w:p w14:paraId="036CA8BE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太平洋側の産業・物流拠点</w:t>
            </w:r>
          </w:p>
        </w:tc>
        <w:tc>
          <w:tcPr>
            <w:tcW w:w="2835" w:type="dxa"/>
            <w:vAlign w:val="center"/>
          </w:tcPr>
          <w:p w14:paraId="7A924461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二面性を示す</w:t>
            </w:r>
            <w:proofErr w:type="spellEnd"/>
          </w:p>
        </w:tc>
      </w:tr>
      <w:tr w:rsidR="004B5223" w14:paraId="5F8CA3B0" w14:textId="77777777">
        <w:trPr>
          <w:jc w:val="center"/>
        </w:trPr>
        <w:tc>
          <w:tcPr>
            <w:tcW w:w="1814" w:type="dxa"/>
            <w:vAlign w:val="center"/>
          </w:tcPr>
          <w:p w14:paraId="0131F659" w14:textId="77777777" w:rsidR="004B5223" w:rsidRDefault="00000000">
            <w:pPr>
              <w:jc w:val="center"/>
              <w:rPr>
                <w:rFonts w:hint="eastAsia"/>
              </w:rPr>
            </w:pPr>
            <w:r>
              <w:t>函館港</w:t>
            </w:r>
          </w:p>
        </w:tc>
        <w:tc>
          <w:tcPr>
            <w:tcW w:w="4535" w:type="dxa"/>
            <w:vAlign w:val="center"/>
          </w:tcPr>
          <w:p w14:paraId="74C46CD3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対岸比較に使いやすい北の既存港</w:t>
            </w:r>
          </w:p>
        </w:tc>
        <w:tc>
          <w:tcPr>
            <w:tcW w:w="2835" w:type="dxa"/>
            <w:vAlign w:val="center"/>
          </w:tcPr>
          <w:p w14:paraId="2E8FD935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津軽海峡圏の比較対象</w:t>
            </w:r>
          </w:p>
        </w:tc>
      </w:tr>
    </w:tbl>
    <w:p w14:paraId="3170842F" w14:textId="77777777" w:rsidR="004B5223" w:rsidRDefault="004B5223">
      <w:pPr>
        <w:rPr>
          <w:rFonts w:hint="eastAsia"/>
          <w:lang w:eastAsia="ja-JP"/>
        </w:rPr>
      </w:pPr>
    </w:p>
    <w:p w14:paraId="448BD278" w14:textId="77777777" w:rsidR="004B5223" w:rsidRDefault="00000000">
      <w:pPr>
        <w:pStyle w:val="21"/>
      </w:pPr>
      <w:r>
        <w:t xml:space="preserve">A-5. </w:t>
      </w:r>
      <w:proofErr w:type="spellStart"/>
      <w:r>
        <w:t>北極海航路の位置づけ</w:t>
      </w:r>
      <w:proofErr w:type="spellEnd"/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6803"/>
      </w:tblGrid>
      <w:tr w:rsidR="004B5223" w14:paraId="139A56BC" w14:textId="77777777">
        <w:trPr>
          <w:tblHeader/>
          <w:jc w:val="center"/>
        </w:trPr>
        <w:tc>
          <w:tcPr>
            <w:tcW w:w="2268" w:type="dxa"/>
            <w:shd w:val="clear" w:color="auto" w:fill="E8DFD1"/>
            <w:vAlign w:val="center"/>
          </w:tcPr>
          <w:p w14:paraId="431625CD" w14:textId="77777777" w:rsidR="004B5223" w:rsidRDefault="00000000">
            <w:pPr>
              <w:jc w:val="center"/>
              <w:rPr>
                <w:rFonts w:hint="eastAsia"/>
              </w:rPr>
            </w:pPr>
            <w:r>
              <w:t>項目</w:t>
            </w:r>
          </w:p>
        </w:tc>
        <w:tc>
          <w:tcPr>
            <w:tcW w:w="6803" w:type="dxa"/>
            <w:shd w:val="clear" w:color="auto" w:fill="E8DFD1"/>
            <w:vAlign w:val="center"/>
          </w:tcPr>
          <w:p w14:paraId="43B50C01" w14:textId="77777777" w:rsidR="004B5223" w:rsidRDefault="00000000">
            <w:pPr>
              <w:jc w:val="center"/>
              <w:rPr>
                <w:rFonts w:hint="eastAsia"/>
              </w:rPr>
            </w:pPr>
            <w:r>
              <w:t>整理</w:t>
            </w:r>
          </w:p>
        </w:tc>
      </w:tr>
      <w:tr w:rsidR="004B5223" w14:paraId="4E52C9D0" w14:textId="77777777">
        <w:trPr>
          <w:jc w:val="center"/>
        </w:trPr>
        <w:tc>
          <w:tcPr>
            <w:tcW w:w="2268" w:type="dxa"/>
            <w:vAlign w:val="center"/>
          </w:tcPr>
          <w:p w14:paraId="22FE3201" w14:textId="77777777" w:rsidR="004B5223" w:rsidRDefault="00000000">
            <w:pPr>
              <w:jc w:val="center"/>
              <w:rPr>
                <w:rFonts w:hint="eastAsia"/>
              </w:rPr>
            </w:pPr>
            <w:r>
              <w:t>本文で残す位置づけ</w:t>
            </w:r>
          </w:p>
        </w:tc>
        <w:tc>
          <w:tcPr>
            <w:tcW w:w="6803" w:type="dxa"/>
            <w:vAlign w:val="center"/>
          </w:tcPr>
          <w:p w14:paraId="0CD123B0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北極海航路は前提条件ではなく「上振れ要因」である。</w:t>
            </w:r>
          </w:p>
        </w:tc>
      </w:tr>
      <w:tr w:rsidR="004B5223" w14:paraId="3EE97E0C" w14:textId="77777777">
        <w:trPr>
          <w:jc w:val="center"/>
        </w:trPr>
        <w:tc>
          <w:tcPr>
            <w:tcW w:w="2268" w:type="dxa"/>
            <w:vAlign w:val="center"/>
          </w:tcPr>
          <w:p w14:paraId="59151737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政策上の意味</w:t>
            </w:r>
            <w:proofErr w:type="spellEnd"/>
          </w:p>
        </w:tc>
        <w:tc>
          <w:tcPr>
            <w:tcW w:w="6803" w:type="dxa"/>
            <w:vAlign w:val="center"/>
          </w:tcPr>
          <w:p w14:paraId="19286CFA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本格化した場合、津軽海峡・北日本港湾のプレゼンスが高まる可能性がある。</w:t>
            </w:r>
          </w:p>
        </w:tc>
      </w:tr>
      <w:tr w:rsidR="004B5223" w14:paraId="5ECAEB5C" w14:textId="77777777">
        <w:trPr>
          <w:jc w:val="center"/>
        </w:trPr>
        <w:tc>
          <w:tcPr>
            <w:tcW w:w="2268" w:type="dxa"/>
            <w:vAlign w:val="center"/>
          </w:tcPr>
          <w:p w14:paraId="1E957A4A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本文で避けるべきこと</w:t>
            </w:r>
          </w:p>
        </w:tc>
        <w:tc>
          <w:tcPr>
            <w:tcW w:w="6803" w:type="dxa"/>
            <w:vAlign w:val="center"/>
          </w:tcPr>
          <w:p w14:paraId="678119E2" w14:textId="77777777" w:rsidR="004B5223" w:rsidRDefault="00000000">
            <w:pPr>
              <w:jc w:val="center"/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航路実現を前提にしすぎること。</w:t>
            </w:r>
          </w:p>
        </w:tc>
      </w:tr>
      <w:tr w:rsidR="004B5223" w14:paraId="11E9B6A2" w14:textId="77777777">
        <w:trPr>
          <w:jc w:val="center"/>
        </w:trPr>
        <w:tc>
          <w:tcPr>
            <w:tcW w:w="2268" w:type="dxa"/>
            <w:vAlign w:val="center"/>
          </w:tcPr>
          <w:p w14:paraId="29B416B8" w14:textId="77777777" w:rsidR="004B5223" w:rsidRDefault="00000000">
            <w:pPr>
              <w:jc w:val="center"/>
              <w:rPr>
                <w:rFonts w:hint="eastAsia"/>
              </w:rPr>
            </w:pPr>
            <w:proofErr w:type="spellStart"/>
            <w:r>
              <w:t>別紙で扱うべきこと</w:t>
            </w:r>
            <w:proofErr w:type="spellEnd"/>
          </w:p>
        </w:tc>
        <w:tc>
          <w:tcPr>
            <w:tcW w:w="6803" w:type="dxa"/>
            <w:vAlign w:val="center"/>
          </w:tcPr>
          <w:p w14:paraId="7CD852B4" w14:textId="77777777" w:rsidR="004B5223" w:rsidRDefault="00000000">
            <w:pPr>
              <w:rPr>
                <w:rFonts w:hint="eastAsia"/>
                <w:lang w:eastAsia="ja-JP"/>
              </w:rPr>
            </w:pPr>
            <w:r>
              <w:rPr>
                <w:lang w:eastAsia="ja-JP"/>
              </w:rPr>
              <w:t>距離短縮例、季節性、既存港との比較。</w:t>
            </w:r>
          </w:p>
        </w:tc>
      </w:tr>
    </w:tbl>
    <w:p w14:paraId="4E10266A" w14:textId="77777777" w:rsidR="004B5223" w:rsidRDefault="004B5223">
      <w:pPr>
        <w:rPr>
          <w:rFonts w:hint="eastAsia"/>
          <w:lang w:eastAsia="ja-JP"/>
        </w:rPr>
      </w:pPr>
    </w:p>
    <w:p w14:paraId="5C9E87DF" w14:textId="77777777" w:rsidR="004B5223" w:rsidRDefault="00000000">
      <w:pPr>
        <w:pStyle w:val="1"/>
        <w:rPr>
          <w:lang w:eastAsia="ja-JP"/>
        </w:rPr>
      </w:pPr>
      <w:r>
        <w:rPr>
          <w:lang w:eastAsia="ja-JP"/>
        </w:rPr>
        <w:t xml:space="preserve">A-6. </w:t>
      </w:r>
      <w:r>
        <w:rPr>
          <w:lang w:eastAsia="ja-JP"/>
        </w:rPr>
        <w:t>本文へ戻す代表数字候補</w:t>
      </w:r>
    </w:p>
    <w:p w14:paraId="48CF6E45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・総事業費：約</w:t>
      </w:r>
      <w:r>
        <w:rPr>
          <w:lang w:eastAsia="ja-JP"/>
        </w:rPr>
        <w:t>15</w:t>
      </w:r>
      <w:r>
        <w:rPr>
          <w:lang w:eastAsia="ja-JP"/>
        </w:rPr>
        <w:t>兆円</w:t>
      </w:r>
    </w:p>
    <w:p w14:paraId="58C63B5C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・投資期間：</w:t>
      </w:r>
      <w:r>
        <w:rPr>
          <w:lang w:eastAsia="ja-JP"/>
        </w:rPr>
        <w:t>15</w:t>
      </w:r>
      <w:r>
        <w:rPr>
          <w:lang w:eastAsia="ja-JP"/>
        </w:rPr>
        <w:t>年</w:t>
      </w:r>
    </w:p>
    <w:p w14:paraId="47E020A6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・首都直下地震の代表被害額</w:t>
      </w:r>
    </w:p>
    <w:p w14:paraId="7C514D2E" w14:textId="77777777" w:rsidR="004B5223" w:rsidRDefault="00000000">
      <w:pPr>
        <w:ind w:left="397" w:hanging="255"/>
        <w:rPr>
          <w:rFonts w:hint="eastAsia"/>
          <w:lang w:eastAsia="ja-JP"/>
        </w:rPr>
      </w:pPr>
      <w:r>
        <w:rPr>
          <w:lang w:eastAsia="ja-JP"/>
        </w:rPr>
        <w:t>・北極海航路成立時の距離短縮代表例</w:t>
      </w:r>
    </w:p>
    <w:p w14:paraId="560AC57C" w14:textId="77777777" w:rsidR="004B5223" w:rsidRDefault="00000000">
      <w:pPr>
        <w:ind w:left="397" w:hanging="255"/>
        <w:rPr>
          <w:lang w:eastAsia="ja-JP"/>
        </w:rPr>
      </w:pPr>
      <w:r>
        <w:rPr>
          <w:lang w:eastAsia="ja-JP"/>
        </w:rPr>
        <w:t>・青森港・八戸港・函館港の代表実績値（各</w:t>
      </w:r>
      <w:r>
        <w:rPr>
          <w:lang w:eastAsia="ja-JP"/>
        </w:rPr>
        <w:t>1</w:t>
      </w:r>
      <w:r>
        <w:rPr>
          <w:lang w:eastAsia="ja-JP"/>
        </w:rPr>
        <w:t>点ずつ）</w:t>
      </w:r>
    </w:p>
    <w:p w14:paraId="6C1D1B97" w14:textId="77777777" w:rsidR="00AF50CF" w:rsidRDefault="00AF50CF">
      <w:pPr>
        <w:ind w:left="397" w:hanging="255"/>
        <w:rPr>
          <w:lang w:eastAsia="ja-JP"/>
        </w:rPr>
      </w:pPr>
    </w:p>
    <w:p w14:paraId="4118162A" w14:textId="77777777" w:rsidR="00AF50CF" w:rsidRDefault="00AF50CF">
      <w:pPr>
        <w:ind w:left="397" w:hanging="255"/>
        <w:rPr>
          <w:lang w:eastAsia="ja-JP"/>
        </w:rPr>
      </w:pPr>
    </w:p>
    <w:p w14:paraId="1850D4BF" w14:textId="77777777" w:rsidR="00AF50CF" w:rsidRDefault="00AF50CF">
      <w:pPr>
        <w:ind w:left="397" w:hanging="255"/>
        <w:rPr>
          <w:lang w:eastAsia="ja-JP"/>
        </w:rPr>
      </w:pPr>
    </w:p>
    <w:p w14:paraId="0C7980E6" w14:textId="77777777" w:rsidR="00AF50CF" w:rsidRDefault="00AF50CF">
      <w:pPr>
        <w:ind w:left="397" w:hanging="255"/>
        <w:rPr>
          <w:lang w:eastAsia="ja-JP"/>
        </w:rPr>
      </w:pPr>
    </w:p>
    <w:p w14:paraId="7B471A43" w14:textId="0E77616F" w:rsidR="00AF50CF" w:rsidRDefault="00AF50CF">
      <w:pPr>
        <w:ind w:left="397" w:hanging="255"/>
        <w:rPr>
          <w:lang w:eastAsia="ja-JP"/>
        </w:rPr>
      </w:pPr>
      <w:r>
        <w:rPr>
          <w:rFonts w:hint="eastAsia"/>
          <w:noProof/>
          <w:lang w:eastAsia="ja-JP"/>
        </w:rPr>
        <w:lastRenderedPageBreak/>
        <w:drawing>
          <wp:inline distT="0" distB="0" distL="0" distR="0" wp14:anchorId="14E19ABF" wp14:editId="71D57718">
            <wp:extent cx="6188710" cy="4732655"/>
            <wp:effectExtent l="0" t="0" r="0" b="0"/>
            <wp:docPr id="10743691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369192" name="図 107436919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73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2DCB1" w14:textId="6C95C993" w:rsidR="00AF50CF" w:rsidRPr="00AF50CF" w:rsidRDefault="00AF50CF" w:rsidP="00AF50CF">
      <w:pPr>
        <w:ind w:left="397" w:hanging="255"/>
        <w:jc w:val="center"/>
        <w:rPr>
          <w:rFonts w:ascii="メイリオ" w:eastAsia="メイリオ" w:hAnsi="メイリオ" w:hint="eastAsia"/>
          <w:lang w:eastAsia="ja-JP"/>
        </w:rPr>
      </w:pPr>
      <w:r w:rsidRPr="00AF50CF">
        <w:rPr>
          <w:rFonts w:ascii="メイリオ" w:eastAsia="メイリオ" w:hAnsi="メイリオ" w:hint="eastAsia"/>
          <w:lang w:eastAsia="ja-JP"/>
        </w:rPr>
        <w:t xml:space="preserve">別紙A　図1　</w:t>
      </w:r>
      <w:r w:rsidRPr="00AF50CF">
        <w:rPr>
          <w:rFonts w:ascii="メイリオ" w:eastAsia="メイリオ" w:hAnsi="メイリオ" w:hint="eastAsia"/>
          <w:lang w:eastAsia="ja-JP"/>
        </w:rPr>
        <w:t>災害時シナリオ比較図</w:t>
      </w:r>
    </w:p>
    <w:sectPr w:rsidR="00AF50CF" w:rsidRPr="00AF50CF" w:rsidSect="00034616"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oto Serif CJK JP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0377230">
    <w:abstractNumId w:val="8"/>
  </w:num>
  <w:num w:numId="2" w16cid:durableId="674890464">
    <w:abstractNumId w:val="6"/>
  </w:num>
  <w:num w:numId="3" w16cid:durableId="1996109575">
    <w:abstractNumId w:val="5"/>
  </w:num>
  <w:num w:numId="4" w16cid:durableId="1527059233">
    <w:abstractNumId w:val="4"/>
  </w:num>
  <w:num w:numId="5" w16cid:durableId="185144740">
    <w:abstractNumId w:val="7"/>
  </w:num>
  <w:num w:numId="6" w16cid:durableId="734472060">
    <w:abstractNumId w:val="3"/>
  </w:num>
  <w:num w:numId="7" w16cid:durableId="1417706349">
    <w:abstractNumId w:val="2"/>
  </w:num>
  <w:num w:numId="8" w16cid:durableId="1283733689">
    <w:abstractNumId w:val="1"/>
  </w:num>
  <w:num w:numId="9" w16cid:durableId="373581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16A86"/>
    <w:rsid w:val="00326F90"/>
    <w:rsid w:val="004B5223"/>
    <w:rsid w:val="00AA1D8D"/>
    <w:rsid w:val="00AF50CF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336AEA5"/>
  <w14:defaultImageDpi w14:val="300"/>
  <w15:docId w15:val="{6D58B839-2B60-4604-B19B-6180DC09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120" w:line="312" w:lineRule="auto"/>
    </w:pPr>
    <w:rPr>
      <w:rFonts w:ascii="Noto Serif CJK JP" w:hAnsi="Noto Serif CJK JP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03C1E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03C1E"/>
      <w:sz w:val="23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503C1E"/>
      <w:spacing w:val="5"/>
      <w:kern w:val="28"/>
      <w:sz w:val="40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5A5A5A"/>
      <w:spacing w:val="15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葬祭 天龍</cp:lastModifiedBy>
  <cp:revision>2</cp:revision>
  <dcterms:created xsi:type="dcterms:W3CDTF">2013-12-23T23:15:00Z</dcterms:created>
  <dcterms:modified xsi:type="dcterms:W3CDTF">2026-04-13T10:02:00Z</dcterms:modified>
  <cp:category/>
</cp:coreProperties>
</file>