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別紙C　財務・制度詳細資料</w:t>
      </w:r>
    </w:p>
    <w:p>
      <w:pPr>
        <w:pStyle w:val="Subtitle"/>
        <w:jc w:val="center"/>
      </w:pPr>
      <w:r>
        <w:t>北日本戦略再設計構想 付属資料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fill="F4EEE4"/>
            <w:vAlign w:val="center"/>
          </w:tcPr>
          <w:p>
            <w:r>
              <w:t>本文版で代表数字のみを残した経済・財務編、NEASIF制度設計編の詳細を集約。表・計算・制度骨格・停止条項・法案要旨を、説明用資料として再利用しやすく整理。</w:t>
            </w:r>
          </w:p>
        </w:tc>
      </w:tr>
    </w:tbl>
    <w:p/>
    <w:p>
      <w:pPr>
        <w:pStyle w:val="Heading1"/>
      </w:pPr>
      <w:r>
        <w:t>C-1. 役割</w:t>
      </w:r>
    </w:p>
    <w:p>
      <w:pPr>
        <w:ind w:left="397" w:hanging="255"/>
      </w:pPr>
      <w:r>
        <w:t>・本文版で省略した税収弾性値、感度分析、OPEX、IMF式、停止条項の詳細をまとめる。</w:t>
      </w:r>
    </w:p>
    <w:p>
      <w:pPr>
        <w:ind w:left="397" w:hanging="255"/>
      </w:pPr>
      <w:r>
        <w:t>・NEASIFの財源設計・運用骨格・法制度の要点を一続きで説明できるようにする。</w:t>
      </w:r>
    </w:p>
    <w:p>
      <w:pPr>
        <w:ind w:left="397" w:hanging="255"/>
      </w:pPr>
      <w:r>
        <w:t>・本文では代表数字のみを残し、説明責任をこの別紙で担保する。</w:t>
      </w:r>
    </w:p>
    <w:p>
      <w:pPr>
        <w:pStyle w:val="Heading2"/>
      </w:pPr>
      <w:r>
        <w:t>C-2. 財務・経済の代表値（整理版）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rPr>
          <w:tblHeader w:val="true"/>
        </w:trPr>
        <w:tc>
          <w:tcPr>
            <w:tcW w:type="dxa" w:w="2268"/>
            <w:vAlign w:val="center"/>
            <w:shd w:fill="E8DFD1"/>
          </w:tcPr>
          <w:p>
            <w:pPr>
              <w:jc w:val="center"/>
            </w:pPr>
            <w:r>
              <w:t>項目</w:t>
            </w:r>
          </w:p>
        </w:tc>
        <w:tc>
          <w:tcPr>
            <w:tcW w:type="dxa" w:w="3969"/>
            <w:vAlign w:val="center"/>
            <w:shd w:fill="E8DFD1"/>
          </w:tcPr>
          <w:p>
            <w:pPr>
              <w:jc w:val="center"/>
            </w:pPr>
            <w:r>
              <w:t>代表値 / 整理</w:t>
            </w:r>
          </w:p>
        </w:tc>
        <w:tc>
          <w:tcPr>
            <w:tcW w:type="dxa" w:w="2835"/>
            <w:vAlign w:val="center"/>
            <w:shd w:fill="E8DFD1"/>
          </w:tcPr>
          <w:p>
            <w:pPr>
              <w:jc w:val="center"/>
            </w:pPr>
            <w:r>
              <w:t>本文での扱い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総事業費</w:t>
            </w:r>
          </w:p>
        </w:tc>
        <w:tc>
          <w:tcPr>
            <w:tcW w:type="dxa" w:w="3969"/>
            <w:vAlign w:val="center"/>
          </w:tcPr>
          <w:p>
            <w:pPr>
              <w:jc w:val="center"/>
            </w:pPr>
            <w:r>
              <w:t>約15兆円（15年分散）</w:t>
            </w:r>
          </w:p>
        </w:tc>
        <w:tc>
          <w:tcPr>
            <w:tcW w:type="dxa" w:w="2835"/>
            <w:vAlign w:val="center"/>
          </w:tcPr>
          <w:p>
            <w:pPr>
              <w:jc w:val="center"/>
            </w:pPr>
            <w:r>
              <w:t>本文に残す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年間GDP押上げ</w:t>
            </w:r>
          </w:p>
        </w:tc>
        <w:tc>
          <w:tcPr>
            <w:tcW w:type="dxa" w:w="3969"/>
            <w:vAlign w:val="center"/>
          </w:tcPr>
          <w:p>
            <w:pPr>
              <w:jc w:val="center"/>
            </w:pPr>
            <w:r>
              <w:t>+0.2〜0.4%（代表レンジ）</w:t>
            </w:r>
          </w:p>
        </w:tc>
        <w:tc>
          <w:tcPr>
            <w:tcW w:type="dxa" w:w="2835"/>
            <w:vAlign w:val="center"/>
          </w:tcPr>
          <w:p>
            <w:pPr>
              <w:jc w:val="center"/>
            </w:pPr>
            <w:r>
              <w:t>本文に残す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年間税収増</w:t>
            </w:r>
          </w:p>
        </w:tc>
        <w:tc>
          <w:tcPr>
            <w:tcW w:type="dxa" w:w="3969"/>
            <w:vAlign w:val="center"/>
          </w:tcPr>
          <w:p>
            <w:pPr>
              <w:jc w:val="center"/>
            </w:pPr>
            <w:r>
              <w:t>0.3〜0.7兆円（代表レンジ）</w:t>
            </w:r>
          </w:p>
        </w:tc>
        <w:tc>
          <w:tcPr>
            <w:tcW w:type="dxa" w:w="2835"/>
            <w:vAlign w:val="center"/>
          </w:tcPr>
          <w:p>
            <w:pPr>
              <w:jc w:val="center"/>
            </w:pPr>
            <w:r>
              <w:t>本文に残す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財政回収</w:t>
            </w:r>
          </w:p>
        </w:tc>
        <w:tc>
          <w:tcPr>
            <w:tcW w:type="dxa" w:w="3969"/>
            <w:vAlign w:val="center"/>
          </w:tcPr>
          <w:p>
            <w:pPr>
              <w:jc w:val="center"/>
            </w:pPr>
            <w:r>
              <w:t>長期型</w:t>
            </w:r>
          </w:p>
        </w:tc>
        <w:tc>
          <w:tcPr>
            <w:tcW w:type="dxa" w:w="2835"/>
            <w:vAlign w:val="center"/>
          </w:tcPr>
          <w:p>
            <w:pPr>
              <w:jc w:val="center"/>
            </w:pPr>
            <w:r>
              <w:t>本文に残す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経済回収</w:t>
            </w:r>
          </w:p>
        </w:tc>
        <w:tc>
          <w:tcPr>
            <w:tcW w:type="dxa" w:w="3969"/>
            <w:vAlign w:val="center"/>
          </w:tcPr>
          <w:p>
            <w:pPr>
              <w:jc w:val="center"/>
            </w:pPr>
            <w:r>
              <w:t>中期型</w:t>
            </w:r>
          </w:p>
        </w:tc>
        <w:tc>
          <w:tcPr>
            <w:tcW w:type="dxa" w:w="2835"/>
            <w:vAlign w:val="center"/>
          </w:tcPr>
          <w:p>
            <w:pPr>
              <w:jc w:val="center"/>
            </w:pPr>
            <w:r>
              <w:t>本文に残す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数式・感度分析</w:t>
            </w:r>
          </w:p>
        </w:tc>
        <w:tc>
          <w:tcPr>
            <w:tcW w:type="dxa" w:w="3969"/>
            <w:vAlign w:val="center"/>
          </w:tcPr>
          <w:p>
            <w:pPr>
              <w:jc w:val="center"/>
            </w:pPr>
            <w:r>
              <w:t>詳細は本別紙</w:t>
            </w:r>
          </w:p>
        </w:tc>
        <w:tc>
          <w:tcPr>
            <w:tcW w:type="dxa" w:w="2835"/>
            <w:vAlign w:val="center"/>
          </w:tcPr>
          <w:p>
            <w:pPr>
              <w:jc w:val="center"/>
            </w:pPr>
            <w:r>
              <w:t>本文では省略</w:t>
            </w:r>
          </w:p>
        </w:tc>
      </w:tr>
    </w:tbl>
    <w:p/>
    <w:p>
      <w:pPr>
        <w:pStyle w:val="Heading2"/>
      </w:pPr>
      <w:r>
        <w:t>C-3. 財務補強版の要点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rPr>
          <w:tblHeader w:val="true"/>
        </w:trPr>
        <w:tc>
          <w:tcPr>
            <w:tcW w:type="dxa" w:w="2551"/>
            <w:vAlign w:val="center"/>
            <w:shd w:fill="E8DFD1"/>
          </w:tcPr>
          <w:p>
            <w:pPr>
              <w:jc w:val="center"/>
            </w:pPr>
            <w:r>
              <w:t>論点</w:t>
            </w:r>
          </w:p>
        </w:tc>
        <w:tc>
          <w:tcPr>
            <w:tcW w:type="dxa" w:w="6236"/>
            <w:vAlign w:val="center"/>
            <w:shd w:fill="E8DFD1"/>
          </w:tcPr>
          <w:p>
            <w:pPr>
              <w:jc w:val="center"/>
            </w:pPr>
            <w:r>
              <w:t>整理</w:t>
            </w:r>
          </w:p>
        </w:tc>
      </w:tr>
      <w:tr>
        <w:tc>
          <w:tcPr>
            <w:tcW w:type="dxa" w:w="2551"/>
            <w:vAlign w:val="center"/>
          </w:tcPr>
          <w:p>
            <w:pPr>
              <w:jc w:val="center"/>
            </w:pPr>
            <w:r>
              <w:t>金利前提</w:t>
            </w:r>
          </w:p>
        </w:tc>
        <w:tc>
          <w:tcPr>
            <w:tcW w:type="dxa" w:w="6236"/>
            <w:vAlign w:val="center"/>
          </w:tcPr>
          <w:p>
            <w:pPr>
              <w:jc w:val="left"/>
            </w:pPr>
            <w:r>
              <w:t>標準1.5%、上振れ2.5%でも検討可能。ただし長期金利3%を超える場合は新規投資停止条項を発動する。</w:t>
            </w:r>
          </w:p>
        </w:tc>
      </w:tr>
      <w:tr>
        <w:tc>
          <w:tcPr>
            <w:tcW w:type="dxa" w:w="2551"/>
            <w:vAlign w:val="center"/>
          </w:tcPr>
          <w:p>
            <w:pPr>
              <w:jc w:val="center"/>
            </w:pPr>
            <w:r>
              <w:t>人口減少補正</w:t>
            </w:r>
          </w:p>
        </w:tc>
        <w:tc>
          <w:tcPr>
            <w:tcW w:type="dxa" w:w="6236"/>
            <w:vAlign w:val="center"/>
          </w:tcPr>
          <w:p>
            <w:pPr>
              <w:jc w:val="left"/>
            </w:pPr>
            <w:r>
              <w:t>青森の人口減少を前提に、後工程・DC・自動化港湾で労働集約依存を下げる。</w:t>
            </w:r>
          </w:p>
        </w:tc>
      </w:tr>
      <w:tr>
        <w:tc>
          <w:tcPr>
            <w:tcW w:type="dxa" w:w="2551"/>
            <w:vAlign w:val="center"/>
          </w:tcPr>
          <w:p>
            <w:pPr>
              <w:jc w:val="center"/>
            </w:pPr>
            <w:r>
              <w:t>国税・地方税配分</w:t>
            </w:r>
          </w:p>
        </w:tc>
        <w:tc>
          <w:tcPr>
            <w:tcW w:type="dxa" w:w="6236"/>
            <w:vAlign w:val="center"/>
          </w:tcPr>
          <w:p>
            <w:pPr>
              <w:jc w:val="left"/>
            </w:pPr>
            <w:r>
              <w:t>地方税への波及も明示し、地域財政への効果を説明できるようにする。</w:t>
            </w:r>
          </w:p>
        </w:tc>
      </w:tr>
      <w:tr>
        <w:tc>
          <w:tcPr>
            <w:tcW w:type="dxa" w:w="2551"/>
            <w:vAlign w:val="center"/>
          </w:tcPr>
          <w:p>
            <w:pPr>
              <w:jc w:val="center"/>
            </w:pPr>
            <w:r>
              <w:t>維持費</w:t>
            </w:r>
          </w:p>
        </w:tc>
        <w:tc>
          <w:tcPr>
            <w:tcW w:type="dxa" w:w="6236"/>
            <w:vAlign w:val="center"/>
          </w:tcPr>
          <w:p>
            <w:pPr>
              <w:jc w:val="left"/>
            </w:pPr>
            <w:r>
              <w:t>OPEXを控除しても、赤字化はしないが余裕は大きくないという現実的整理を維持する。</w:t>
            </w:r>
          </w:p>
        </w:tc>
      </w:tr>
    </w:tbl>
    <w:p/>
    <w:p>
      <w:pPr>
        <w:pStyle w:val="Heading2"/>
      </w:pPr>
      <w:r>
        <w:t>C-4. IMF整合型の考え方（要約）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rPr>
          <w:tblHeader w:val="true"/>
        </w:trPr>
        <w:tc>
          <w:tcPr>
            <w:tcW w:type="dxa" w:w="2268"/>
            <w:vAlign w:val="center"/>
            <w:shd w:fill="E8DFD1"/>
          </w:tcPr>
          <w:p>
            <w:pPr>
              <w:jc w:val="center"/>
            </w:pPr>
            <w:r>
              <w:t>項目</w:t>
            </w:r>
          </w:p>
        </w:tc>
        <w:tc>
          <w:tcPr>
            <w:tcW w:type="dxa" w:w="6803"/>
            <w:vAlign w:val="center"/>
            <w:shd w:fill="E8DFD1"/>
          </w:tcPr>
          <w:p>
            <w:pPr>
              <w:jc w:val="center"/>
            </w:pPr>
            <w:r>
              <w:t>整理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基本式</w:t>
            </w:r>
          </w:p>
        </w:tc>
        <w:tc>
          <w:tcPr>
            <w:tcW w:type="dxa" w:w="6803"/>
            <w:vAlign w:val="center"/>
          </w:tcPr>
          <w:p>
            <w:pPr>
              <w:jc w:val="left"/>
            </w:pPr>
            <w:r>
              <w:t>r &lt; g の条件では債務GDP比は安定しやすい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本構想の位置づけ</w:t>
            </w:r>
          </w:p>
        </w:tc>
        <w:tc>
          <w:tcPr>
            <w:tcW w:type="dxa" w:w="6803"/>
            <w:vAlign w:val="center"/>
          </w:tcPr>
          <w:p>
            <w:pPr>
              <w:jc w:val="left"/>
            </w:pPr>
            <w:r>
              <w:t>短期黒字化案件ではなく、成長・保険価値・国家継続性を重ねる国家投資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停止条項</w:t>
            </w:r>
          </w:p>
        </w:tc>
        <w:tc>
          <w:tcPr>
            <w:tcW w:type="dxa" w:w="6803"/>
            <w:vAlign w:val="center"/>
          </w:tcPr>
          <w:p>
            <w:pPr>
              <w:jc w:val="center"/>
            </w:pPr>
            <w:r>
              <w:t>長期金利3%超で新規拠出停止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保険価値</w:t>
            </w:r>
          </w:p>
        </w:tc>
        <w:tc>
          <w:tcPr>
            <w:tcW w:type="dxa" w:w="6803"/>
            <w:vAlign w:val="center"/>
          </w:tcPr>
          <w:p>
            <w:pPr>
              <w:jc w:val="left"/>
            </w:pPr>
            <w:r>
              <w:t>災害損失の部分緩和によって、投資額を上回る便益を説明できる</w:t>
            </w:r>
          </w:p>
        </w:tc>
      </w:tr>
    </w:tbl>
    <w:p/>
    <w:p>
      <w:pPr>
        <w:pStyle w:val="Heading2"/>
      </w:pPr>
      <w:r>
        <w:t>C-5. NEASIF制度骨格（要約）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rPr>
          <w:tblHeader w:val="true"/>
        </w:trPr>
        <w:tc>
          <w:tcPr>
            <w:tcW w:type="dxa" w:w="2268"/>
            <w:vAlign w:val="center"/>
            <w:shd w:fill="E8DFD1"/>
          </w:tcPr>
          <w:p>
            <w:pPr>
              <w:jc w:val="center"/>
            </w:pPr>
            <w:r>
              <w:t>項目</w:t>
            </w:r>
          </w:p>
        </w:tc>
        <w:tc>
          <w:tcPr>
            <w:tcW w:type="dxa" w:w="6803"/>
            <w:vAlign w:val="center"/>
            <w:shd w:fill="E8DFD1"/>
          </w:tcPr>
          <w:p>
            <w:pPr>
              <w:jc w:val="center"/>
            </w:pPr>
            <w:r>
              <w:t>整理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基本思想</w:t>
            </w:r>
          </w:p>
        </w:tc>
        <w:tc>
          <w:tcPr>
            <w:tcW w:type="dxa" w:w="6803"/>
            <w:vAlign w:val="center"/>
          </w:tcPr>
          <w:p>
            <w:pPr>
              <w:jc w:val="left"/>
            </w:pPr>
            <w:r>
              <w:t>外貨準備の安全性を損なわず、実現収益と満期償還分を国内成長投資へ再循環させる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財源</w:t>
            </w:r>
          </w:p>
        </w:tc>
        <w:tc>
          <w:tcPr>
            <w:tcW w:type="dxa" w:w="6803"/>
            <w:vAlign w:val="center"/>
          </w:tcPr>
          <w:p>
            <w:pPr>
              <w:jc w:val="left"/>
            </w:pPr>
            <w:r>
              <w:t>外為特会の実現収益、償還再配分、政府出資、民間・国際LP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運用</w:t>
            </w:r>
          </w:p>
        </w:tc>
        <w:tc>
          <w:tcPr>
            <w:tcW w:type="dxa" w:w="6803"/>
            <w:vAlign w:val="center"/>
          </w:tcPr>
          <w:p>
            <w:pPr>
              <w:jc w:val="left"/>
            </w:pPr>
            <w:r>
              <w:t>政府はLP、専門GPが個別案件を判断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統制</w:t>
            </w:r>
          </w:p>
        </w:tc>
        <w:tc>
          <w:tcPr>
            <w:tcW w:type="dxa" w:w="6803"/>
            <w:vAlign w:val="center"/>
          </w:tcPr>
          <w:p>
            <w:pPr>
              <w:jc w:val="left"/>
            </w:pPr>
            <w:r>
              <w:t>国会統制、会計検査院監査、5年レビュー、15年時限</w:t>
            </w:r>
          </w:p>
        </w:tc>
      </w:tr>
      <w:tr>
        <w:tc>
          <w:tcPr>
            <w:tcW w:type="dxa" w:w="2268"/>
            <w:vAlign w:val="center"/>
          </w:tcPr>
          <w:p>
            <w:pPr>
              <w:jc w:val="center"/>
            </w:pPr>
            <w:r>
              <w:t>遮断ライン</w:t>
            </w:r>
          </w:p>
        </w:tc>
        <w:tc>
          <w:tcPr>
            <w:tcW w:type="dxa" w:w="6803"/>
            <w:vAlign w:val="center"/>
          </w:tcPr>
          <w:p>
            <w:pPr>
              <w:jc w:val="center"/>
            </w:pPr>
            <w:r>
              <w:t>防衛装備や軍事目的投資は対象外</w:t>
            </w:r>
          </w:p>
        </w:tc>
      </w:tr>
    </w:tbl>
    <w:p/>
    <w:p>
      <w:pPr>
        <w:pStyle w:val="Heading1"/>
      </w:pPr>
      <w:r>
        <w:t>C-6. 特別措置法案（要旨）</w:t>
      </w:r>
    </w:p>
    <w:p>
      <w:pPr>
        <w:ind w:left="397" w:hanging="255"/>
      </w:pPr>
      <w:r>
        <w:t>・第1条：経済安全保障、国家継続性、持続的成長のため基金を設置する。</w:t>
      </w:r>
    </w:p>
    <w:p>
      <w:pPr>
        <w:ind w:left="397" w:hanging="255"/>
      </w:pPr>
      <w:r>
        <w:t>・第3条：一般会計に基金を設け、内閣府で管理する。</w:t>
      </w:r>
    </w:p>
    <w:p>
      <w:pPr>
        <w:ind w:left="397" w:hanging="255"/>
      </w:pPr>
      <w:r>
        <w:t>・第5条：外為特会の実現収益、満期償還分、政府出資金、民間・外国政府等からの出資を原資とする。</w:t>
      </w:r>
    </w:p>
    <w:p>
      <w:pPr>
        <w:ind w:left="397" w:hanging="255"/>
      </w:pPr>
      <w:r>
        <w:t>・第9条：対象はエネルギー基盤、半導体後工程・関連産業、港湾・空港機能、計算資本・データ基盤、国際共同投資。</w:t>
      </w:r>
    </w:p>
    <w:p>
      <w:pPr>
        <w:ind w:left="397" w:hanging="255"/>
      </w:pPr>
      <w:r>
        <w:t>・第10条〜第13条：15年時限、5年レビュー、金利3%停止条項、会計検査院監査。</w:t>
      </w:r>
    </w:p>
    <w:p>
      <w:pPr>
        <w:ind w:left="397" w:hanging="255"/>
      </w:pPr>
      <w:r>
        <w:t>・第16条：残余財産は一般会計へ帰属する。</w:t>
      </w:r>
    </w:p>
    <w:p>
      <w:pPr>
        <w:pStyle w:val="Heading2"/>
      </w:pPr>
      <w:r>
        <w:t>C-7. 本文へ戻す代表数字候補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rPr>
          <w:tblHeader w:val="true"/>
        </w:trPr>
        <w:tc>
          <w:tcPr>
            <w:tcW w:type="dxa" w:w="2835"/>
            <w:vAlign w:val="center"/>
            <w:shd w:fill="E8DFD1"/>
          </w:tcPr>
          <w:p>
            <w:pPr>
              <w:jc w:val="center"/>
            </w:pPr>
            <w:r>
              <w:t>項目</w:t>
            </w:r>
          </w:p>
        </w:tc>
        <w:tc>
          <w:tcPr>
            <w:tcW w:type="dxa" w:w="4535"/>
            <w:vAlign w:val="center"/>
            <w:shd w:fill="E8DFD1"/>
          </w:tcPr>
          <w:p>
            <w:pPr>
              <w:jc w:val="center"/>
            </w:pPr>
            <w:r>
              <w:t>本文へ残す形</w:t>
            </w:r>
          </w:p>
        </w:tc>
      </w:tr>
      <w:tr>
        <w:tc>
          <w:tcPr>
            <w:tcW w:type="dxa" w:w="2835"/>
            <w:vAlign w:val="center"/>
          </w:tcPr>
          <w:p>
            <w:pPr>
              <w:jc w:val="center"/>
            </w:pPr>
            <w:r>
              <w:t>総事業費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>
              <w:t>約15兆円</w:t>
            </w:r>
          </w:p>
        </w:tc>
      </w:tr>
      <w:tr>
        <w:tc>
          <w:tcPr>
            <w:tcW w:type="dxa" w:w="2835"/>
            <w:vAlign w:val="center"/>
          </w:tcPr>
          <w:p>
            <w:pPr>
              <w:jc w:val="center"/>
            </w:pPr>
            <w:r>
              <w:t>投資期間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>
              <w:t>15年</w:t>
            </w:r>
          </w:p>
        </w:tc>
      </w:tr>
      <w:tr>
        <w:tc>
          <w:tcPr>
            <w:tcW w:type="dxa" w:w="2835"/>
            <w:vAlign w:val="center"/>
          </w:tcPr>
          <w:p>
            <w:pPr>
              <w:jc w:val="center"/>
            </w:pPr>
            <w:r>
              <w:t>年間GDP押上げ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>
              <w:t>+0.2〜0.4%</w:t>
            </w:r>
          </w:p>
        </w:tc>
      </w:tr>
      <w:tr>
        <w:tc>
          <w:tcPr>
            <w:tcW w:type="dxa" w:w="2835"/>
            <w:vAlign w:val="center"/>
          </w:tcPr>
          <w:p>
            <w:pPr>
              <w:jc w:val="center"/>
            </w:pPr>
            <w:r>
              <w:t>年間税収増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>
              <w:t>0.3〜0.7兆円</w:t>
            </w:r>
          </w:p>
        </w:tc>
      </w:tr>
      <w:tr>
        <w:tc>
          <w:tcPr>
            <w:tcW w:type="dxa" w:w="2835"/>
            <w:vAlign w:val="center"/>
          </w:tcPr>
          <w:p>
            <w:pPr>
              <w:jc w:val="center"/>
            </w:pPr>
            <w:r>
              <w:t>NEASIF初期規模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>
              <w:t>3〜5兆円</w:t>
            </w:r>
          </w:p>
        </w:tc>
      </w:tr>
      <w:tr>
        <w:tc>
          <w:tcPr>
            <w:tcW w:type="dxa" w:w="2835"/>
            <w:vAlign w:val="center"/>
          </w:tcPr>
          <w:p>
            <w:pPr>
              <w:jc w:val="center"/>
            </w:pPr>
            <w:r>
              <w:t>停止条項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>
              <w:t>長期金利3%で新規拠出停止</w:t>
            </w:r>
          </w:p>
        </w:tc>
      </w:tr>
    </w:tbl>
    <w:p/>
    <w:sectPr w:rsidR="00FC693F" w:rsidRPr="0006063C" w:rsidSect="00034616"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12" w:lineRule="auto"/>
    </w:pPr>
    <w:rPr>
      <w:rFonts w:ascii="Noto Serif CJK JP" w:hAnsi="Noto Serif CJK JP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oto Serif CJK JP" w:hAnsi="Noto Serif CJK JP"/>
      <w:b/>
      <w:bCs/>
      <w:color w:val="503C1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oto Serif CJK JP" w:hAnsi="Noto Serif CJK JP"/>
      <w:b/>
      <w:bCs/>
      <w:color w:val="503C1E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oto Serif CJK JP" w:hAnsi="Noto Serif CJK JP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erif CJK JP" w:hAnsi="Noto Serif CJK JP"/>
      <w:b/>
      <w:color w:val="503C1E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Noto Serif CJK JP" w:hAnsi="Noto Serif CJK JP"/>
      <w:i/>
      <w:iCs/>
      <w:color w:val="5A5A5A"/>
      <w:spacing w:val="15"/>
      <w:sz w:val="21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