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t>財務省向け／別紙1（案)</w:t>
      </w:r>
    </w:p>
    <w:p>
      <w:pPr>
        <w:pStyle w:val="CustomTitle"/>
      </w:pPr>
      <w:r>
        <w:t>別紙1</w:t>
      </w:r>
    </w:p>
    <w:p>
      <w:pPr>
        <w:pStyle w:val="CustomSubtitle"/>
      </w:pPr>
      <w:r>
        <w:t>外国為替資金特別会計の実現収益等を活用した原資設計の考え方</w:t>
      </w:r>
    </w:p>
    <w:p>
      <w:pPr>
        <w:pStyle w:val="CustomH2"/>
      </w:pPr>
      <w:r>
        <w:t>作成目的</w:t>
      </w:r>
    </w:p>
    <w:p>
      <w:pPr/>
      <w:r>
        <w:t>本別紙は、北日本戦略再設計構想について、外国為替資金特別会計における実現収益及び満期償還分を活用する原資設計の考え方を整理し、市場安定性、財政規律及び制度上の歯止めを中心に補足説明することを目的とするものである。</w:t>
      </w:r>
    </w:p>
    <w:p>
      <w:pPr>
        <w:pStyle w:val="CustomH2"/>
      </w:pPr>
      <w:r>
        <w:t>位置づけ</w:t>
      </w:r>
    </w:p>
    <w:p>
      <w:pPr/>
      <w:r>
        <w:t>本別紙は、財務省向け説明資料本文を補足するものであり、記載内容は制度整理及び概念設計の段階にある。数値については、公表統計、政府資料その他の公式値に基づき今後再検証を行う前提で整理したものである。</w:t>
      </w:r>
    </w:p>
    <w:p>
      <w:pPr>
        <w:pStyle w:val="CustomH1"/>
      </w:pPr>
      <w:r>
        <w:t>0．要旨</w:t>
      </w:r>
    </w:p>
    <w:p>
      <w:pPr>
        <w:pStyle w:val="CustomH2"/>
      </w:pPr>
      <w:r>
        <w:t>0-1．一行要旨</w:t>
      </w:r>
    </w:p>
    <w:p>
      <w:pPr/>
      <w:r>
        <w:t>本構想における原資設計は、外貨準備資産の市場売却を前提とせず、外国為替資金特別会計の実現収益及び満期償還分を、国会統制の下で国内成長投資へ再循環させる方式を基本とする。</w:t>
      </w:r>
    </w:p>
    <w:p>
      <w:pPr>
        <w:pStyle w:val="CustomH2"/>
      </w:pPr>
      <w:r>
        <w:t>0-2．要点</w:t>
      </w:r>
    </w:p>
    <w:p>
      <w:pPr/>
      <w:r>
        <w:t>① 基本原則</w:t>
      </w:r>
    </w:p>
    <w:p>
      <w:pPr/>
      <w:r>
        <w:t>外貨準備の安全性を損なわず、市場に不要なショックを与えないことを前提とする。</w:t>
      </w:r>
    </w:p>
    <w:p>
      <w:pPr/>
      <w:r>
        <w:t>② 原資の範囲</w:t>
      </w:r>
    </w:p>
    <w:p>
      <w:pPr/>
      <w:r>
        <w:t>外国為替資金特別会計における実現収益及び満期償還分を活用し、外貨準備資産の市場売却は前提としない。</w:t>
      </w:r>
    </w:p>
    <w:p>
      <w:pPr/>
      <w:r>
        <w:t>③ 制度上の歯止め</w:t>
      </w:r>
    </w:p>
    <w:p>
      <w:pPr/>
      <w:r>
        <w:t>15年時限、5年レビュー、長期金利3％停止条項、KPI未達時の新規停止、国会統制及び会計検査院監査を制度化する。</w:t>
      </w:r>
    </w:p>
    <w:p>
      <w:pPr>
        <w:pStyle w:val="CustomH1"/>
      </w:pPr>
      <w:r>
        <w:t>1．本別紙の目的</w:t>
      </w:r>
    </w:p>
    <w:p>
      <w:pPr>
        <w:pStyle w:val="CustomH2"/>
      </w:pPr>
      <w:r>
        <w:t>1-1．基本認識</w:t>
      </w:r>
    </w:p>
    <w:p>
      <w:pPr/>
      <w:r>
        <w:t>本構想は、首都圏集中に伴う国家的脆弱性に対応するための時限的な国家継続性投資として整理されるものであり、その原資設計に当たっては、財政信認、市場安定性及び対外的安定性に最大限配慮する必要がある。</w:t>
      </w:r>
    </w:p>
    <w:p>
      <w:pPr>
        <w:pStyle w:val="CustomH2"/>
      </w:pPr>
      <w:r>
        <w:t>1-2．本別紙の役割</w:t>
      </w:r>
    </w:p>
    <w:p>
      <w:pPr/>
      <w:r>
        <w:t>本別紙は、原資設計について、外為特会の活用範囲、一般会計への繰入、基金出資までの流れ、並びに制度上の歯止めを整理し、財務省向け説明における補強資料とするものである。</w:t>
      </w:r>
    </w:p>
    <w:p>
      <w:pPr>
        <w:pStyle w:val="CustomH1"/>
      </w:pPr>
      <w:r>
        <w:t>2．原資設計の基本原則</w:t>
      </w:r>
    </w:p>
    <w:p>
      <w:pPr>
        <w:pStyle w:val="CustomH2"/>
      </w:pPr>
      <w:r>
        <w:t>2-1．市場売却を前提としないこと</w:t>
      </w:r>
    </w:p>
    <w:p>
      <w:pPr/>
      <w:r>
        <w:t>本構想は、外貨準備資産の市場売却を前提としない。市場売却を伴う原資化は、金融市場及び外交関係に不要な不安定要因を生じさせるおそれがあるためである。</w:t>
      </w:r>
    </w:p>
    <w:p>
      <w:pPr>
        <w:pStyle w:val="CustomH2"/>
      </w:pPr>
      <w:r>
        <w:t>2-2．実現収益を中心とすること</w:t>
      </w:r>
    </w:p>
    <w:p>
      <w:pPr/>
      <w:r>
        <w:t>原資として活用するのは、外国為替資金特別会計における利子収入、償還益、為替差益のうち実現した収益を基本とする。含み益は原則として対象外とし、説明上も「実現収益」の範囲に限定する。</w:t>
      </w:r>
    </w:p>
    <w:p>
      <w:pPr>
        <w:pStyle w:val="CustomH2"/>
      </w:pPr>
      <w:r>
        <w:t>2-3．満期償還分の再配分</w:t>
      </w:r>
    </w:p>
    <w:p>
      <w:pPr/>
      <w:r>
        <w:t>満期償還分については、市場売却ではなく、自然償還に伴う再投資先の再配分として整理する。これにより、市場や対外関係への影響を抑制しつつ、一定の投資原資を段階的に確保することを想定する。</w:t>
      </w:r>
    </w:p>
    <w:p>
      <w:pPr>
        <w:pStyle w:val="CustomH2"/>
      </w:pPr>
      <w:r>
        <w:t>2-4．国会統制の確保</w:t>
      </w:r>
    </w:p>
    <w:p>
      <w:pPr/>
      <w:r>
        <w:t>外為特会からの資金活用は、一般会計への繰入を国会議決の下で行い、その後、特別措置法に基づく基金出資へ接続する方式を採る。これにより、民主的統制及び予算上の透明性を確保する。</w:t>
      </w:r>
    </w:p>
    <w:p>
      <w:pPr>
        <w:pStyle w:val="CustomH1"/>
      </w:pPr>
      <w:r>
        <w:t>3．原資の範囲と規模感</w:t>
      </w:r>
    </w:p>
    <w:p>
      <w:pPr>
        <w:pStyle w:val="CustomH2"/>
      </w:pPr>
      <w:r>
        <w:t>3-1．原資の範囲</w:t>
      </w:r>
    </w:p>
    <w:p>
      <w:pPr/>
      <w:r>
        <w:t>原資の範囲は、次の各項目を基本とする。</w:t>
      </w:r>
    </w:p>
    <w:p>
      <w:pPr/>
      <w:r>
        <w:t>（1）外国為替資金特別会計において実現した収益</w:t>
      </w:r>
    </w:p>
    <w:p>
      <w:pPr/>
      <w:r>
        <w:t>（2）外貨建資産の満期償還分のうち、予算をもって一般会計に再配分された額</w:t>
      </w:r>
    </w:p>
    <w:p>
      <w:pPr/>
      <w:r>
        <w:t>（3）必要に応じた政府出資金</w:t>
      </w:r>
    </w:p>
    <w:p>
      <w:pPr/>
      <w:r>
        <w:t>（4）民間又は国際共同投資主体からの出資金</w:t>
      </w:r>
    </w:p>
    <w:p>
      <w:pPr>
        <w:pStyle w:val="CustomH2"/>
      </w:pPr>
      <w:r>
        <w:t>3-2．規模感の整理</w:t>
      </w:r>
    </w:p>
    <w:p>
      <w:pPr/>
      <w:r>
        <w:t>現段階の整理では、初期5年における原資規模は3〜5兆円程度を想定し、15年間の累計では最大10兆円規模を上限として検討する。この規模感は、外為特会収益の変動、満期償還分の再配分余地、金利動向及びKPI達成状況を踏まえつつ、段階的に判断する。</w:t>
      </w:r>
    </w:p>
    <w:p>
      <w:pPr>
        <w:pStyle w:val="CustomH2"/>
      </w:pPr>
      <w:r>
        <w:t>3-3．年次配分の考え方</w:t>
      </w:r>
    </w:p>
    <w:p>
      <w:pPr/>
      <w:r>
        <w:t>年次配分は均等ではなく、制度設計・基盤整備・稼働移行の各段階に応じた配分とし、初期段階では抑制的に運用する。これにより、財政規律を損なうことなく、段階的な実装可能性を検証する。</w:t>
      </w:r>
    </w:p>
    <w:p>
      <w:r>
        <w:br w:type="page"/>
      </w:r>
    </w:p>
    <w:p>
      <w:pPr>
        <w:jc w:val="right"/>
      </w:pPr>
      <w:r>
        <w:t>財務省向け／別紙1（案)</w:t>
      </w:r>
    </w:p>
    <w:p>
      <w:pPr>
        <w:pStyle w:val="CustomH1"/>
      </w:pPr>
      <w:r>
        <w:t>4．繰入・出資フロー</w:t>
      </w:r>
    </w:p>
    <w:p>
      <w:pPr>
        <w:pStyle w:val="CustomH2"/>
      </w:pPr>
      <w:r>
        <w:t>4-1．基本フロー</w:t>
      </w:r>
    </w:p>
    <w:p>
      <w:pPr/>
      <w:r>
        <w:t>原資の流れは、次のとおり整理する。</w:t>
      </w:r>
    </w:p>
    <w:p>
      <w:pPr/>
      <w:r>
        <w:t>（1）外国為替資金特別会計における実現収益又は満期償還分の発生</w:t>
      </w:r>
    </w:p>
    <w:p>
      <w:pPr/>
      <w:r>
        <w:t>（2）予算及び国会議決を経た一般会計への繰入</w:t>
      </w:r>
    </w:p>
    <w:p>
      <w:pPr/>
      <w:r>
        <w:t>（3）特別措置法に基づく基金への積立又は出資</w:t>
      </w:r>
    </w:p>
    <w:p>
      <w:pPr/>
      <w:r>
        <w:t>（4）政府は有限責任出資者として関与し、専門運用主体が個別案件へ投資</w:t>
      </w:r>
    </w:p>
    <w:p>
      <w:pPr>
        <w:pStyle w:val="CustomH2"/>
      </w:pPr>
      <w:r>
        <w:t>4-2．制度上の意味</w:t>
      </w:r>
    </w:p>
    <w:p>
      <w:pPr/>
      <w:r>
        <w:t>この構造により、外為特会と個別投資案件を直接結びつけるのではなく、一般会計及び法定基金を介した制度的な仕切りを設けることができる。これにより、財政法との整合、国会統制及び監査可能性を担保する。</w:t>
      </w:r>
    </w:p>
    <w:p>
      <w:pPr>
        <w:pStyle w:val="CustomH1"/>
      </w:pPr>
      <w:r>
        <w:t>5．停止条件と歯止め</w:t>
      </w:r>
    </w:p>
    <w:p>
      <w:pPr>
        <w:pStyle w:val="CustomH2"/>
      </w:pPr>
      <w:r>
        <w:t>5-1．15年時限</w:t>
      </w:r>
    </w:p>
    <w:p>
      <w:pPr/>
      <w:r>
        <w:t>基金は15年間の時限措置とし、恒久制度化を前提としない。延長が必要な場合には、再立法その他の明示的手続を要するものとする。</w:t>
      </w:r>
    </w:p>
    <w:p>
      <w:pPr>
        <w:pStyle w:val="CustomH2"/>
      </w:pPr>
      <w:r>
        <w:t>5-2．5年レビュー</w:t>
      </w:r>
    </w:p>
    <w:p>
      <w:pPr/>
      <w:r>
        <w:t>基金設立後5年を経過した時点で中間評価を実施し、KPI達成状況、民間投資誘発状況、財政負担、金利環境等を総合的に点検する。</w:t>
      </w:r>
    </w:p>
    <w:p>
      <w:pPr>
        <w:pStyle w:val="CustomH2"/>
      </w:pPr>
      <w:r>
        <w:t>5-3．金利3％停止条項</w:t>
      </w:r>
    </w:p>
    <w:p>
      <w:pPr/>
      <w:r>
        <w:t>長期国債利回りが3％を超える状態が一定期間継続した場合には、新規拠出を停止する。これにより、金利上昇局面における財政信認毀損リスクを抑制する。</w:t>
      </w:r>
    </w:p>
    <w:p>
      <w:pPr>
        <w:pStyle w:val="CustomH2"/>
      </w:pPr>
      <w:r>
        <w:t>5-4．KPI未達時の新規停止</w:t>
      </w:r>
    </w:p>
    <w:p>
      <w:pPr/>
      <w:r>
        <w:t>主要KPIが一定期間未達となった場合には、新規出資を停止し、既存案件の管理に重点を移す。これにより、実績を伴わない投資拡大を防ぐ。</w:t>
      </w:r>
    </w:p>
    <w:p>
      <w:pPr>
        <w:pStyle w:val="CustomH2"/>
      </w:pPr>
      <w:r>
        <w:t>5-5．国会統制・監査</w:t>
      </w:r>
    </w:p>
    <w:p>
      <w:pPr/>
      <w:r>
        <w:t>基金の積立、出資及び運用状況については、国会への年次報告及び会計検査院による監査の対象とし、制度の透明性を担保する。</w:t>
      </w:r>
    </w:p>
    <w:p>
      <w:pPr>
        <w:pStyle w:val="CustomH1"/>
      </w:pPr>
      <w:r>
        <w:t>6．財政上の位置づけ</w:t>
      </w:r>
    </w:p>
    <w:p>
      <w:pPr>
        <w:pStyle w:val="CustomH2"/>
      </w:pPr>
      <w:r>
        <w:t>6-1．恒久歳出拡大型施策との相違</w:t>
      </w:r>
    </w:p>
    <w:p>
      <w:pPr/>
      <w:r>
        <w:t>本構想の原資設計は、通常の恒久歳出拡大型施策とは異なり、実現収益及び満期償還分の再循環を基本とし、時限、レビュー及び停止条件を組み込んだ条件付きの投資制度として整理される。</w:t>
      </w:r>
    </w:p>
    <w:p>
      <w:pPr>
        <w:pStyle w:val="CustomH2"/>
      </w:pPr>
      <w:r>
        <w:t>6-2．市場安定性との整合</w:t>
      </w:r>
    </w:p>
    <w:p>
      <w:pPr/>
      <w:r>
        <w:t>市場売却を行わず、自然償還及び実現収益の範囲で原資を構成することにより、市場安定性及び対外的安定性との整合を図る。</w:t>
      </w:r>
    </w:p>
    <w:p>
      <w:pPr>
        <w:pStyle w:val="CustomH2"/>
      </w:pPr>
      <w:r>
        <w:t>6-3．説明上の重点</w:t>
      </w:r>
    </w:p>
    <w:p>
      <w:pPr/>
      <w:r>
        <w:t>財務省向け説明においては、財源の大きさを前面に出すのではなく、市場売却を伴わないこと、外貨準備の安全性を損なわないこと、並びに停止可能性を制度上明示していることを中心に整理することが適当である。</w:t>
      </w:r>
    </w:p>
    <w:p>
      <w:pPr>
        <w:pStyle w:val="CustomH1"/>
      </w:pPr>
      <w:r>
        <w:t>7．留意事項</w:t>
      </w:r>
    </w:p>
    <w:p>
      <w:pPr>
        <w:pStyle w:val="CustomH2"/>
      </w:pPr>
      <w:r>
        <w:t>7-1．本整理の性格</w:t>
      </w:r>
    </w:p>
    <w:p>
      <w:pPr/>
      <w:r>
        <w:t>本別紙は、原資設計に関する制度整理のたたき台であり、実際の収益規模、繰入可能額及び投資余力を確定するものではない。</w:t>
      </w:r>
    </w:p>
    <w:p>
      <w:pPr>
        <w:pStyle w:val="CustomH2"/>
      </w:pPr>
      <w:r>
        <w:t>7-2．再検証事項</w:t>
      </w:r>
    </w:p>
    <w:p>
      <w:pPr/>
      <w:r>
        <w:t>最終提出時には、以下の点について再検証を要する。</w:t>
      </w:r>
    </w:p>
    <w:p>
      <w:pPr/>
      <w:r>
        <w:t>（1）近年の外為特会実現収益の推移</w:t>
      </w:r>
    </w:p>
    <w:p>
      <w:pPr/>
      <w:r>
        <w:t>（2）満期償還分の年度別構成</w:t>
      </w:r>
    </w:p>
    <w:p>
      <w:pPr/>
      <w:r>
        <w:t>（3）一般会計繰入との制度的整合</w:t>
      </w:r>
    </w:p>
    <w:p>
      <w:pPr/>
      <w:r>
        <w:t>（4）金利上昇局面における拠出余地</w:t>
      </w:r>
    </w:p>
    <w:p>
      <w:pPr/>
      <w:r>
        <w:t>（5）基金規模と年次拠出上限の妥当性</w:t>
      </w:r>
    </w:p>
    <w:p>
      <w:pPr>
        <w:pStyle w:val="CustomH1"/>
      </w:pPr>
      <w:r>
        <w:t>8．結論</w:t>
      </w:r>
    </w:p>
    <w:p>
      <w:pPr/>
      <w:r>
        <w:t>以上のとおり、本構想における原資設計は、外国為替資金特別会計の実現収益及び満期償還分を、外貨準備資産の市場売却を伴うことなく、国会統制の下で国内成長投資へ再循環させる方式を基本とするものである。</w:t>
      </w:r>
    </w:p>
    <w:p>
      <w:pPr/>
      <w:r>
        <w:t>したがって、本構想は、外貨準備の安全性、市場安定性及び財政規律への配慮を前提としつつ、時限、レビュー、停止条件及び監査を組み合わせた条件付き・制御型の原資設計として整理することが適当である。</w:t>
      </w:r>
    </w:p>
    <w:p>
      <w:pPr>
        <w:pStyle w:val="CustomNote"/>
      </w:pPr>
      <w:r>
        <w:t>注）本別紙は説明用整理案であり、記載内容は制度整理及び概念設計の段階にある。記載数値については、公表統計、政府資料その他の公式値に基づき再検証を行う前提である。</w:t>
      </w:r>
    </w:p>
    <w:sectPr w:rsidR="00FC693F" w:rsidRPr="0006063C"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360" w:lineRule="exact" w:after="60"/>
    </w:pPr>
    <w:rPr>
      <w:rFonts w:ascii="MS Mincho" w:hAnsi="MS Mincho" w:eastAsia="MS Mincho"/>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ustomTitle">
    <w:name w:val="CustomTitle"/>
    <w:basedOn w:val="Normal"/>
    <w:pPr>
      <w:spacing w:after="240"/>
      <w:jc w:val="center"/>
    </w:pPr>
    <w:rPr>
      <w:rFonts w:ascii="MS Mincho" w:hAnsi="MS Mincho" w:eastAsia="MS Mincho"/>
      <w:b/>
      <w:sz w:val="32"/>
    </w:rPr>
  </w:style>
  <w:style w:type="paragraph" w:customStyle="1" w:styleId="CustomSubtitle">
    <w:name w:val="CustomSubtitle"/>
    <w:basedOn w:val="Normal"/>
    <w:pPr>
      <w:spacing w:after="360"/>
      <w:jc w:val="center"/>
    </w:pPr>
    <w:rPr>
      <w:rFonts w:ascii="MS Mincho" w:hAnsi="MS Mincho" w:eastAsia="MS Mincho"/>
      <w:b/>
      <w:sz w:val="24"/>
    </w:rPr>
  </w:style>
  <w:style w:type="paragraph" w:customStyle="1" w:styleId="CustomH1">
    <w:name w:val="CustomH1"/>
    <w:basedOn w:val="Normal"/>
    <w:pPr>
      <w:keepNext/>
      <w:spacing w:before="240" w:after="120"/>
    </w:pPr>
    <w:rPr>
      <w:rFonts w:ascii="MS Gothic" w:hAnsi="MS Gothic" w:eastAsia="MS Gothic"/>
      <w:b/>
      <w:sz w:val="26"/>
    </w:rPr>
  </w:style>
  <w:style w:type="paragraph" w:customStyle="1" w:styleId="CustomH2">
    <w:name w:val="CustomH2"/>
    <w:basedOn w:val="Normal"/>
    <w:pPr>
      <w:keepNext/>
      <w:spacing w:before="120" w:after="60"/>
    </w:pPr>
    <w:rPr>
      <w:rFonts w:ascii="MS Gothic" w:hAnsi="MS Gothic" w:eastAsia="MS Gothic"/>
      <w:b/>
      <w:sz w:val="23"/>
    </w:rPr>
  </w:style>
  <w:style w:type="paragraph" w:customStyle="1" w:styleId="CustomNote">
    <w:name w:val="CustomNote"/>
    <w:basedOn w:val="Normal"/>
    <w:pPr>
      <w:spacing w:line="240" w:lineRule="exact"/>
    </w:pPr>
    <w:rPr>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