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BodyStyle"/>
        <w:jc w:val="right"/>
      </w:pPr>
      <w:r>
        <w:t>財務省向け／別紙2（案）</w:t>
      </w:r>
    </w:p>
    <w:p>
      <w:pPr>
        <w:pStyle w:val="TitleStyle"/>
        <w:jc w:val="center"/>
      </w:pPr>
      <w:r>
        <w:t>別紙2</w:t>
      </w:r>
    </w:p>
    <w:p>
      <w:pPr>
        <w:pStyle w:val="SubtitleStyle"/>
        <w:jc w:val="center"/>
      </w:pPr>
      <w:r>
        <w:t>国家継続性投資としての保険価値及び損失回避効果の試算整理</w:t>
      </w:r>
    </w:p>
    <w:p>
      <w:pPr>
        <w:pStyle w:val="Heading2Style"/>
      </w:pPr>
      <w:r>
        <w:t>作成目的</w:t>
      </w:r>
    </w:p>
    <w:p>
      <w:pPr>
        <w:pStyle w:val="BodyStyle"/>
      </w:pPr>
      <w:r>
        <w:t>本別紙は、北日本戦略再設計構想について、通常の経済波及効果や税収増のみならず、巨大災害、物流分断及び国家機能停止リスクに対する損失回避効果を定量的に整理し、当該構想が有する保険価値を試算上把握することを目的とするものである。</w:t>
      </w:r>
    </w:p>
    <w:p>
      <w:pPr>
        <w:pStyle w:val="Heading2Style"/>
      </w:pPr>
      <w:r>
        <w:t>位置づけ</w:t>
      </w:r>
    </w:p>
    <w:p>
      <w:pPr>
        <w:pStyle w:val="BodyStyle"/>
      </w:pPr>
      <w:r>
        <w:t>本別紙は、財務省向け説明資料本文を補足するものであり、記載数値は原本整理に基づく概念試算である。最終提出時には、公表統計、政府資料その他の公式値に基づく再検証を前提とする。</w:t>
      </w:r>
    </w:p>
    <w:p>
      <w:pPr>
        <w:pStyle w:val="Heading1Style"/>
      </w:pPr>
      <w:r>
        <w:t>0．要旨</w:t>
      </w:r>
    </w:p>
    <w:p>
      <w:pPr>
        <w:pStyle w:val="Heading2Style"/>
      </w:pPr>
      <w:r>
        <w:t>0-1．一行要旨</w:t>
      </w:r>
    </w:p>
    <w:p>
      <w:pPr>
        <w:pStyle w:val="BodyStyle"/>
      </w:pPr>
      <w:r>
        <w:t>本構想は、首都圏集中に伴う巨大災害及び物流分断リスクに対し、北日本側への分散配置と冗長化により、国家的損失の一部を回避又は軽減し得る保険価値付き投資として整理できる。</w:t>
      </w:r>
    </w:p>
    <w:p>
      <w:pPr>
        <w:pStyle w:val="Heading2Style"/>
      </w:pPr>
      <w:r>
        <w:t>0-2．要点</w:t>
      </w:r>
    </w:p>
    <w:p>
      <w:pPr>
        <w:pStyle w:val="BodyStyle"/>
      </w:pPr>
      <w:r>
        <w:t>① 評価対象</w:t>
      </w:r>
    </w:p>
    <w:p>
      <w:pPr>
        <w:pStyle w:val="BodyStyle"/>
      </w:pPr>
      <w:r>
        <w:t>首都直下地震、南海トラフ巨大地震及び複合物流停止を代表的リスクイベントとして整理する。</w:t>
      </w:r>
    </w:p>
    <w:p>
      <w:pPr>
        <w:pStyle w:val="BodyStyle"/>
      </w:pPr>
      <w:r>
        <w:t>② 試算結果</w:t>
      </w:r>
    </w:p>
    <w:p>
      <w:pPr>
        <w:pStyle w:val="BodyStyle"/>
      </w:pPr>
      <w:r>
        <w:t>原本整理に基づけば、年間期待損失約9.4兆円に対し、年間損失削減額約1.02兆円、現在価値換算で約17.5兆円規模の保険価値を持ち得る。</w:t>
      </w:r>
    </w:p>
    <w:p>
      <w:pPr>
        <w:pStyle w:val="BodyStyle"/>
      </w:pPr>
      <w:r>
        <w:t>③ 政策上の意味</w:t>
      </w:r>
    </w:p>
    <w:p>
      <w:pPr>
        <w:pStyle w:val="BodyStyle"/>
      </w:pPr>
      <w:r>
        <w:t>本構想は、短期採算型投資ではなく、国家継続性を高めるための損失回避機能を有する分散投資として評価すべきである。</w:t>
      </w:r>
    </w:p>
    <w:p>
      <w:pPr>
        <w:pStyle w:val="Heading1Style"/>
      </w:pPr>
      <w:r>
        <w:t>1．本別紙の目的</w:t>
      </w:r>
    </w:p>
    <w:p>
      <w:pPr>
        <w:pStyle w:val="Heading2Style"/>
      </w:pPr>
      <w:r>
        <w:t>1-1．基本認識</w:t>
      </w:r>
    </w:p>
    <w:p>
      <w:pPr>
        <w:pStyle w:val="BodyStyle"/>
      </w:pPr>
      <w:r>
        <w:t>本構想は、短期的な財政黒字化を目的とする事業ではない一方、首都圏集中に伴う単一障害点リスクを緩和し、国家継続性を高める分散投資として位置づけられる。</w:t>
      </w:r>
    </w:p>
    <w:p>
      <w:pPr>
        <w:pStyle w:val="Heading2Style"/>
      </w:pPr>
      <w:r>
        <w:t>1-2．評価上の必要性</w:t>
      </w:r>
    </w:p>
    <w:p>
      <w:pPr>
        <w:pStyle w:val="BodyStyle"/>
      </w:pPr>
      <w:r>
        <w:t>このため、投資評価に当たっては、平時の成長誘発効果に加え、非常時における損失回避機能を評価対象に含める必要がある。</w:t>
      </w:r>
    </w:p>
    <w:p>
      <w:pPr>
        <w:pStyle w:val="Heading2Style"/>
      </w:pPr>
      <w:r>
        <w:t>1-3．本別紙の役割</w:t>
      </w:r>
    </w:p>
    <w:p>
      <w:pPr>
        <w:pStyle w:val="BodyStyle"/>
      </w:pPr>
      <w:r>
        <w:t>本別紙は、保険価値及び損失回避効果を概念試算として整理し、財務省向け説明における補強資料とするものである。</w:t>
      </w:r>
    </w:p>
    <w:p>
      <w:pPr>
        <w:pStyle w:val="Heading1Style"/>
      </w:pPr>
      <w:r>
        <w:t>2．基本的な考え方</w:t>
      </w:r>
    </w:p>
    <w:p>
      <w:pPr>
        <w:pStyle w:val="Heading2Style"/>
      </w:pPr>
      <w:r>
        <w:t>2-1．保険価値の定義</w:t>
      </w:r>
    </w:p>
    <w:p>
      <w:pPr>
        <w:pStyle w:val="BodyStyle"/>
      </w:pPr>
      <w:r>
        <w:t>本構想における保険価値とは、首都圏及び太平洋側への過度な機能集中を緩和し、北日本側に経済、物流、エネルギー、計算基盤及び一定の冗長的機能を分散配置することにより、巨大災害又は広域物流停止時に生じる国家的損失の一部を回避又は軽減する価値をいう。</w:t>
      </w:r>
    </w:p>
    <w:p>
      <w:pPr>
        <w:pStyle w:val="Heading2Style"/>
      </w:pPr>
      <w:r>
        <w:t>2-2．投資の性格</w:t>
      </w:r>
    </w:p>
    <w:p>
      <w:pPr>
        <w:pStyle w:val="BodyStyle"/>
      </w:pPr>
      <w:r>
        <w:t>本構想は単なる成長投資ではなく、国家全体の停止確率を下げるための分散・冗長化投資としての性格を有する。</w:t>
      </w:r>
    </w:p>
    <w:p>
      <w:pPr>
        <w:pStyle w:val="Heading2Style"/>
      </w:pPr>
      <w:r>
        <w:t>2-3．評価の考え方</w:t>
      </w:r>
    </w:p>
    <w:p>
      <w:pPr>
        <w:pStyle w:val="BodyStyle"/>
      </w:pPr>
      <w:r>
        <w:t>この観点からは、通常の公共投資評価における需要創出効果のみならず、期待損失の低減効果を現在価値で評価することが適当である。</w:t>
      </w:r>
    </w:p>
    <w:p>
      <w:pPr>
        <w:pStyle w:val="Heading1Style"/>
      </w:pPr>
      <w:r>
        <w:t>3．想定する主要リスクイベント</w:t>
      </w:r>
    </w:p>
    <w:p>
      <w:pPr>
        <w:pStyle w:val="Heading2Style"/>
      </w:pPr>
      <w:r>
        <w:t>3-1．首都直下地震</w:t>
      </w:r>
    </w:p>
    <w:p>
      <w:pPr>
        <w:pStyle w:val="BodyStyle"/>
      </w:pPr>
      <w:r>
        <w:t>首都圏に政治、行政、金融、物流及び情報機能が集中している現状において、首都直下地震は国家中枢機能の同時的な障害を引き起こす可能性がある。被害額は極めて大きく、行政・経済・交通・情報の複合麻痺をもたらし得る。</w:t>
      </w:r>
    </w:p>
    <w:p>
      <w:pPr>
        <w:pStyle w:val="Heading2Style"/>
      </w:pPr>
      <w:r>
        <w:t>3-2．南海トラフ巨大地震</w:t>
      </w:r>
    </w:p>
    <w:p>
      <w:pPr>
        <w:pStyle w:val="BodyStyle"/>
      </w:pPr>
      <w:r>
        <w:t>南海トラフ巨大地震は、太平洋ベルト地帯の生産、物流、港湾、交通及びエネルギー供給に広域かつ長期の影響を及ぼし得る。首都直下地震と同様、単なる地域災害ではなく、国家経済全体の供給能力に深刻な制約を与えるリスクである。</w:t>
      </w:r>
    </w:p>
    <w:p>
      <w:pPr>
        <w:pStyle w:val="Heading2Style"/>
      </w:pPr>
      <w:r>
        <w:t>3-3．複合物流停止</w:t>
      </w:r>
    </w:p>
    <w:p>
      <w:pPr>
        <w:pStyle w:val="BodyStyle"/>
      </w:pPr>
      <w:r>
        <w:t>大規模自然災害、有事、港湾障害、エネルギー制約等が重なった場合、数日以上にわたる複合物流停止が発生する可能性がある。この場合、首都圏及び太平洋側依存の供給構造は著しく脆弱であり、代替ルート及び代替拠点の不備が経済損失を拡大させる。</w:t>
      </w:r>
    </w:p>
    <w:p>
      <w:pPr>
        <w:pStyle w:val="Heading1Style"/>
      </w:pPr>
      <w:r>
        <w:t>4．期待損失の整理</w:t>
      </w:r>
    </w:p>
    <w:p>
      <w:pPr>
        <w:pStyle w:val="Heading2Style"/>
      </w:pPr>
      <w:r>
        <w:t>4-1．試算の前提</w:t>
      </w:r>
    </w:p>
    <w:p>
      <w:pPr>
        <w:pStyle w:val="BodyStyle"/>
      </w:pPr>
      <w:r>
        <w:t>本試算では、上記イベントについて、年率発生確率と名目損失額を仮置きし、年間期待損失（Expected Annual Loss: EAL）を整理する。</w:t>
      </w:r>
    </w:p>
    <w:p>
      <w:pPr>
        <w:pStyle w:val="Heading2Style"/>
      </w:pPr>
      <w:r>
        <w:t>4-2．年間期待損失</w:t>
      </w:r>
    </w:p>
    <w:p>
      <w:pPr>
        <w:pStyle w:val="BodyStyle"/>
      </w:pPr>
      <w:r>
        <w:t>首都直下地震</w:t>
      </w:r>
    </w:p>
    <w:p>
      <w:pPr>
        <w:pStyle w:val="BodyStyle"/>
        <w:ind w:left="397" w:hanging="227"/>
      </w:pPr>
      <w:r>
        <w:t>・年率発生確率：約2％</w:t>
      </w:r>
    </w:p>
    <w:p>
      <w:pPr>
        <w:pStyle w:val="BodyStyle"/>
        <w:ind w:left="397" w:hanging="227"/>
      </w:pPr>
      <w:r>
        <w:t>・名目損失額：約120兆円</w:t>
      </w:r>
    </w:p>
    <w:p>
      <w:pPr>
        <w:pStyle w:val="BodyStyle"/>
        <w:ind w:left="397" w:hanging="227"/>
      </w:pPr>
      <w:r>
        <w:t>・年間期待損失：約2.4兆円</w:t>
      </w:r>
    </w:p>
    <w:p>
      <w:pPr>
        <w:pStyle w:val="BodyStyle"/>
      </w:pPr>
      <w:r>
        <w:t>南海トラフ巨大地震</w:t>
      </w:r>
    </w:p>
    <w:p>
      <w:pPr>
        <w:pStyle w:val="BodyStyle"/>
        <w:ind w:left="397" w:hanging="227"/>
      </w:pPr>
      <w:r>
        <w:t>・年率発生確率：約3％</w:t>
      </w:r>
    </w:p>
    <w:p>
      <w:pPr>
        <w:pStyle w:val="BodyStyle"/>
        <w:ind w:left="397" w:hanging="227"/>
      </w:pPr>
      <w:r>
        <w:t>・名目損失額：約200兆円</w:t>
      </w:r>
    </w:p>
    <w:p>
      <w:pPr>
        <w:pStyle w:val="BodyStyle"/>
        <w:ind w:left="397" w:hanging="227"/>
      </w:pPr>
      <w:r>
        <w:t>・年間期待損失：約6.0兆円</w:t>
      </w:r>
    </w:p>
    <w:p>
      <w:pPr>
        <w:pStyle w:val="BodyStyle"/>
      </w:pPr>
      <w:r>
        <w:t>複合物流停止</w:t>
      </w:r>
    </w:p>
    <w:p>
      <w:pPr>
        <w:pStyle w:val="BodyStyle"/>
        <w:ind w:left="397" w:hanging="227"/>
      </w:pPr>
      <w:r>
        <w:t>・年率発生確率：約5％</w:t>
      </w:r>
    </w:p>
    <w:p>
      <w:pPr>
        <w:pStyle w:val="BodyStyle"/>
        <w:ind w:left="397" w:hanging="227"/>
      </w:pPr>
      <w:r>
        <w:t>・名目損失額：約20兆円</w:t>
      </w:r>
    </w:p>
    <w:p>
      <w:pPr>
        <w:pStyle w:val="BodyStyle"/>
        <w:ind w:left="397" w:hanging="227"/>
      </w:pPr>
      <w:r>
        <w:t>・年間期待損失：約1.0兆円</w:t>
      </w:r>
    </w:p>
    <w:p>
      <w:pPr>
        <w:pStyle w:val="Heading2Style"/>
      </w:pPr>
      <w:r>
        <w:t>4-3．合計値</w:t>
      </w:r>
    </w:p>
    <w:p>
      <w:pPr>
        <w:pStyle w:val="BodyStyle"/>
      </w:pPr>
      <w:r>
        <w:t>以上を合計すると、年間期待損失は約9.4兆円となる。これは国家が平時に内包している潜在的損失期待値の一つの整理であり、本構想はこの一部を低減することを狙うものである。</w:t>
      </w:r>
    </w:p>
    <w:p>
      <w:pPr>
        <w:pStyle w:val="Heading1Style"/>
      </w:pPr>
      <w:r>
        <w:t>5．冗長化による損失削減の考え方</w:t>
      </w:r>
    </w:p>
    <w:p>
      <w:pPr>
        <w:pStyle w:val="Heading2Style"/>
      </w:pPr>
      <w:r>
        <w:t>5-1．基本認識</w:t>
      </w:r>
    </w:p>
    <w:p>
      <w:pPr>
        <w:pStyle w:val="BodyStyle"/>
      </w:pPr>
      <w:r>
        <w:t>本構想が目指すのは、上記損失を全面的に消滅させることではない。北日本側に物流、エネルギー、計算基盤及び代替運用拠点を整備することで、国家機能の完全停止を避け、損失規模を部分的に軽減することに主眼がある。</w:t>
      </w:r>
    </w:p>
    <w:p>
      <w:pPr>
        <w:pStyle w:val="Heading2Style"/>
      </w:pPr>
      <w:r>
        <w:t>5-2．損失削減率の仮置き</w:t>
      </w:r>
    </w:p>
    <w:p>
      <w:pPr>
        <w:pStyle w:val="BodyStyle"/>
      </w:pPr>
      <w:r>
        <w:t>原本では、保守的前提として、以下の損失削減率を置いている。</w:t>
      </w:r>
    </w:p>
    <w:p>
      <w:pPr>
        <w:pStyle w:val="BodyStyle"/>
        <w:ind w:left="397" w:hanging="227"/>
      </w:pPr>
      <w:r>
        <w:t>首都直下地震：10％</w:t>
      </w:r>
    </w:p>
    <w:p>
      <w:pPr>
        <w:pStyle w:val="BodyStyle"/>
        <w:ind w:left="397" w:hanging="227"/>
      </w:pPr>
      <w:r>
        <w:t>南海トラフ巨大地震：8％</w:t>
      </w:r>
    </w:p>
    <w:p>
      <w:pPr>
        <w:pStyle w:val="BodyStyle"/>
        <w:ind w:left="397" w:hanging="227"/>
      </w:pPr>
      <w:r>
        <w:t>複合物流停止：30％</w:t>
      </w:r>
    </w:p>
    <w:p>
      <w:pPr>
        <w:pStyle w:val="Heading2Style"/>
      </w:pPr>
      <w:r>
        <w:t>5-3．年間損失削減額</w:t>
      </w:r>
    </w:p>
    <w:p>
      <w:pPr>
        <w:pStyle w:val="BodyStyle"/>
      </w:pPr>
      <w:r>
        <w:t>上記前提に基づく年間損失削減額は、以下のとおりである。</w:t>
      </w:r>
    </w:p>
    <w:p>
      <w:pPr>
        <w:pStyle w:val="BodyStyle"/>
        <w:ind w:left="397" w:hanging="227"/>
      </w:pPr>
      <w:r>
        <w:t>首都直下地震：約0.24兆円</w:t>
      </w:r>
    </w:p>
    <w:p>
      <w:pPr>
        <w:pStyle w:val="BodyStyle"/>
        <w:ind w:left="397" w:hanging="227"/>
      </w:pPr>
      <w:r>
        <w:t>南海トラフ巨大地震：約0.48兆円</w:t>
      </w:r>
    </w:p>
    <w:p>
      <w:pPr>
        <w:pStyle w:val="BodyStyle"/>
        <w:ind w:left="397" w:hanging="227"/>
      </w:pPr>
      <w:r>
        <w:t>複合物流停止：約0.30兆円</w:t>
      </w:r>
    </w:p>
    <w:p>
      <w:pPr>
        <w:pStyle w:val="Heading2Style"/>
      </w:pPr>
      <w:r>
        <w:t>5-4．合計値</w:t>
      </w:r>
    </w:p>
    <w:p>
      <w:pPr>
        <w:pStyle w:val="BodyStyle"/>
      </w:pPr>
      <w:r>
        <w:t>以上を合計すると、年間損失削減額は約1.02兆円となる。これは、本構想が平時の成長効果とは別に、毎年一定の損失回避便益を有し得るとの整理である。</w:t>
      </w:r>
    </w:p>
    <w:p>
      <w:r>
        <w:br w:type="page"/>
      </w:r>
    </w:p>
    <w:p>
      <w:pPr>
        <w:pStyle w:val="BodyStyle"/>
        <w:jc w:val="right"/>
      </w:pPr>
      <w:r>
        <w:t>財務省向け／別紙2（案）</w:t>
      </w:r>
    </w:p>
    <w:p>
      <w:pPr>
        <w:pStyle w:val="Heading1Style"/>
      </w:pPr>
      <w:r>
        <w:t>6．保険価値NPVの整理</w:t>
      </w:r>
    </w:p>
    <w:p>
      <w:pPr>
        <w:pStyle w:val="Heading2Style"/>
      </w:pPr>
      <w:r>
        <w:t>6-1．前提条件</w:t>
      </w:r>
    </w:p>
    <w:p>
      <w:pPr>
        <w:pStyle w:val="BodyStyle"/>
      </w:pPr>
      <w:r>
        <w:t>原本では、社会的割引率を1.5％、評価期間を20年と仮置きし、年間損失削減額約1.02兆円を現在価値換算している。</w:t>
      </w:r>
    </w:p>
    <w:p>
      <w:pPr>
        <w:pStyle w:val="Heading2Style"/>
      </w:pPr>
      <w:r>
        <w:t>6-2．現在価値換算</w:t>
      </w:r>
    </w:p>
    <w:p>
      <w:pPr>
        <w:pStyle w:val="BodyStyle"/>
      </w:pPr>
      <w:r>
        <w:t>近似的な割引係数は約17.2と整理されており、これを用いると保険価値の現在価値（NPV）は約17.5兆円となる。</w:t>
      </w:r>
    </w:p>
    <w:p>
      <w:pPr>
        <w:pStyle w:val="Heading2Style"/>
      </w:pPr>
      <w:r>
        <w:t>6-3．政策上の意味</w:t>
      </w:r>
    </w:p>
    <w:p>
      <w:pPr>
        <w:pStyle w:val="BodyStyle"/>
      </w:pPr>
      <w:r>
        <w:t>この整理は、NEASIFを中心とする投資規模との比較において重要である。投資額を単なる歳出として見るのではなく、国家が本来内包している巨大損失の期待値を低減するための保険料的支出として捉えるならば、本構想は一定の合理性を有する。</w:t>
      </w:r>
    </w:p>
    <w:p>
      <w:pPr>
        <w:pStyle w:val="Heading2Style"/>
      </w:pPr>
      <w:r>
        <w:t>6-4．留保事項</w:t>
      </w:r>
    </w:p>
    <w:p>
      <w:pPr>
        <w:pStyle w:val="BodyStyle"/>
      </w:pPr>
      <w:r>
        <w:t>なお、この値はあくまで概念整理上の試算であり、被害想定、発生確率、削減率、評価期間及び割引率の設定によって変動し得る。そのため、最終提出時には、政府公表資料、災害想定、公的統計及び専門家評価に基づく再検証が必要である。</w:t>
      </w:r>
    </w:p>
    <w:p>
      <w:pPr>
        <w:pStyle w:val="Heading1Style"/>
      </w:pPr>
      <w:r>
        <w:t>7．保守ケースと標準ケース</w:t>
      </w:r>
    </w:p>
    <w:p>
      <w:pPr>
        <w:pStyle w:val="Heading2Style"/>
      </w:pPr>
      <w:r>
        <w:t>7-1．保守ケース</w:t>
      </w:r>
    </w:p>
    <w:p>
      <w:pPr>
        <w:pStyle w:val="BodyStyle"/>
        <w:ind w:left="397" w:hanging="227"/>
      </w:pPr>
      <w:r>
        <w:t>・損失削減率を原本記載の水準又はそれ以下に置く</w:t>
      </w:r>
    </w:p>
    <w:p>
      <w:pPr>
        <w:pStyle w:val="BodyStyle"/>
        <w:ind w:left="397" w:hanging="227"/>
      </w:pPr>
      <w:r>
        <w:t>・評価期間は20年</w:t>
      </w:r>
    </w:p>
    <w:p>
      <w:pPr>
        <w:pStyle w:val="BodyStyle"/>
        <w:ind w:left="397" w:hanging="227"/>
      </w:pPr>
      <w:r>
        <w:t>・社会的割引率は1.5％以上を採用する</w:t>
      </w:r>
    </w:p>
    <w:p>
      <w:pPr>
        <w:pStyle w:val="BodyStyle"/>
        <w:ind w:left="397" w:hanging="227"/>
      </w:pPr>
      <w:r>
        <w:t>・目的は「投資額を正当化する」ことではなく、「損失回避価値が相応に存在する」ことを示すことに置く</w:t>
      </w:r>
    </w:p>
    <w:p>
      <w:pPr>
        <w:pStyle w:val="Heading2Style"/>
      </w:pPr>
      <w:r>
        <w:t>7-2．標準ケース</w:t>
      </w:r>
    </w:p>
    <w:p>
      <w:pPr>
        <w:pStyle w:val="BodyStyle"/>
        <w:ind w:left="397" w:hanging="227"/>
      </w:pPr>
      <w:r>
        <w:t>・北日本側の分散拠点、物流代替性、計算基盤冗長性が一定程度実装された場合を想定する</w:t>
      </w:r>
    </w:p>
    <w:p>
      <w:pPr>
        <w:pStyle w:val="BodyStyle"/>
        <w:ind w:left="397" w:hanging="227"/>
      </w:pPr>
      <w:r>
        <w:t>・物流停止時の削減率をやや高めに置く</w:t>
      </w:r>
    </w:p>
    <w:p>
      <w:pPr>
        <w:pStyle w:val="BodyStyle"/>
        <w:ind w:left="397" w:hanging="227"/>
      </w:pPr>
      <w:r>
        <w:t>・エネルギー及びデータセンターの代替機能による間接便益も補助的に考慮する</w:t>
      </w:r>
    </w:p>
    <w:p>
      <w:pPr>
        <w:pStyle w:val="Heading2Style"/>
      </w:pPr>
      <w:r>
        <w:t>7-3．説明上の使い分け</w:t>
      </w:r>
    </w:p>
    <w:p>
      <w:pPr>
        <w:pStyle w:val="BodyStyle"/>
      </w:pPr>
      <w:r>
        <w:t>本文説明では保守ケースを中心に用い、標準ケースは必要に応じて口頭又は追加説明用に留めることが適当である。</w:t>
      </w:r>
    </w:p>
    <w:p>
      <w:pPr>
        <w:pStyle w:val="Heading1Style"/>
      </w:pPr>
      <w:r>
        <w:t>8．政策評価上の含意</w:t>
      </w:r>
    </w:p>
    <w:p>
      <w:pPr>
        <w:pStyle w:val="Heading2Style"/>
      </w:pPr>
      <w:r>
        <w:t>8-1．評価軸の整理</w:t>
      </w:r>
    </w:p>
    <w:p>
      <w:pPr>
        <w:pStyle w:val="BodyStyle"/>
      </w:pPr>
      <w:r>
        <w:t>本構想の評価を通常の公共事業と同様に、短期の税収増又は単年度財政収支に限定して行うと、国家継続性投資としての本質を捉え損なうおそれがある。</w:t>
      </w:r>
    </w:p>
    <w:p>
      <w:pPr>
        <w:pStyle w:val="Heading2Style"/>
      </w:pPr>
      <w:r>
        <w:t>8-2．必要な三層整理</w:t>
      </w:r>
    </w:p>
    <w:p>
      <w:pPr>
        <w:pStyle w:val="BodyStyle"/>
      </w:pPr>
      <w:r>
        <w:t>政策評価上は、少なくとも以下の三層を分けて整理することが必要である。</w:t>
      </w:r>
    </w:p>
    <w:p>
      <w:pPr>
        <w:pStyle w:val="BodyStyle"/>
        <w:ind w:left="397" w:hanging="227"/>
      </w:pPr>
      <w:r>
        <w:t>（1）平時の経済波及効果</w:t>
      </w:r>
    </w:p>
    <w:p>
      <w:pPr>
        <w:pStyle w:val="BodyStyle"/>
        <w:ind w:left="397" w:hanging="227"/>
      </w:pPr>
      <w:r>
        <w:t>（2）中長期の税収増及び民間投資誘発効果</w:t>
      </w:r>
    </w:p>
    <w:p>
      <w:pPr>
        <w:pStyle w:val="BodyStyle"/>
        <w:ind w:left="397" w:hanging="227"/>
      </w:pPr>
      <w:r>
        <w:t>（3）巨大災害・物流分断時における損失回避効果</w:t>
      </w:r>
    </w:p>
    <w:p>
      <w:pPr>
        <w:pStyle w:val="Heading2Style"/>
      </w:pPr>
      <w:r>
        <w:t>8-3．財務省向け説明の重点</w:t>
      </w:r>
    </w:p>
    <w:p>
      <w:pPr>
        <w:pStyle w:val="BodyStyle"/>
      </w:pPr>
      <w:r>
        <w:t>財務省向け説明では、特に（3）の位置づけを明確にし、本構想は短期利益追求型の投資ではなく、国家リスクを制御するための保険価値付き投資であることを前面に出すことが適当である。</w:t>
      </w:r>
    </w:p>
    <w:p>
      <w:pPr>
        <w:pStyle w:val="Heading1Style"/>
      </w:pPr>
      <w:r>
        <w:t>9．留意事項</w:t>
      </w:r>
    </w:p>
    <w:p>
      <w:pPr>
        <w:pStyle w:val="Heading2Style"/>
      </w:pPr>
      <w:r>
        <w:t>9-1．本試算の性格</w:t>
      </w:r>
    </w:p>
    <w:p>
      <w:pPr>
        <w:pStyle w:val="BodyStyle"/>
      </w:pPr>
      <w:r>
        <w:t>本別紙の試算は、国家継続性投資としての考え方を整理するための概念試算であり、最終的な政策評価を確定するものではない。</w:t>
      </w:r>
    </w:p>
    <w:p>
      <w:pPr>
        <w:pStyle w:val="Heading2Style"/>
      </w:pPr>
      <w:r>
        <w:t>9-2．再検証事項</w:t>
      </w:r>
    </w:p>
    <w:p>
      <w:pPr>
        <w:pStyle w:val="BodyStyle"/>
      </w:pPr>
      <w:r>
        <w:t>最終提出時には、以下の点について再検証を要する。</w:t>
      </w:r>
    </w:p>
    <w:p>
      <w:pPr>
        <w:pStyle w:val="BodyStyle"/>
        <w:ind w:left="397" w:hanging="227"/>
      </w:pPr>
      <w:r>
        <w:t>（1）被害想定及び発生確率の公式値との整合</w:t>
      </w:r>
    </w:p>
    <w:p>
      <w:pPr>
        <w:pStyle w:val="BodyStyle"/>
        <w:ind w:left="397" w:hanging="227"/>
      </w:pPr>
      <w:r>
        <w:t>（2）損失削減率の妥当性</w:t>
      </w:r>
    </w:p>
    <w:p>
      <w:pPr>
        <w:pStyle w:val="BodyStyle"/>
        <w:ind w:left="397" w:hanging="227"/>
      </w:pPr>
      <w:r>
        <w:t>（3）割引率及び評価期間の妥当性</w:t>
      </w:r>
    </w:p>
    <w:p>
      <w:pPr>
        <w:pStyle w:val="BodyStyle"/>
        <w:ind w:left="397" w:hanging="227"/>
      </w:pPr>
      <w:r>
        <w:t>（4）平時の物流・エネルギー・計算基盤効果との重複排除</w:t>
      </w:r>
    </w:p>
    <w:p>
      <w:pPr>
        <w:pStyle w:val="BodyStyle"/>
        <w:ind w:left="397" w:hanging="227"/>
      </w:pPr>
      <w:r>
        <w:t>（5）他政策との比較可能性の確保</w:t>
      </w:r>
    </w:p>
    <w:p>
      <w:pPr>
        <w:pStyle w:val="Heading1Style"/>
      </w:pPr>
      <w:r>
        <w:t>10．結論</w:t>
      </w:r>
    </w:p>
    <w:p>
      <w:pPr>
        <w:pStyle w:val="BodyStyle"/>
      </w:pPr>
      <w:r>
        <w:t>以上のとおり、本構想は、首都圏集中に伴う巨大災害及び物流分断リスクに対し、北日本側への分散配置と冗長化により、国家的損失の一部を回避又は軽減し得る構造を持つ。原本整理に基づけば、年間期待損失約9.4兆円に対し、年間損失削減額約1.02兆円、現在価値換算で約17.5兆円規模の保険価値を持ち得るとの考え方が成立する。</w:t>
      </w:r>
    </w:p>
    <w:p>
      <w:pPr>
        <w:pStyle w:val="BodyStyle"/>
      </w:pPr>
      <w:r>
        <w:t>したがって、本構想は、単なる成長政策ではなく、国家継続性を確保するための保険価値付き分散投資として位置づけることができ、財務省向け説明においては、その点を中核論点として整理することが適当である。</w:t>
      </w:r>
    </w:p>
    <w:p>
      <w:pPr>
        <w:pStyle w:val="NoteStyle"/>
      </w:pPr>
      <w:r>
        <w:t>注）本別紙は説明用整理案であり、記載数値は原本整理に基づく概念試算である。最終提出時には、公表統計、政府資料その他の公式値に基づく再検証を前提とする。</w:t>
      </w:r>
    </w:p>
    <w:sectPr w:rsidR="00FC693F" w:rsidRPr="0006063C" w:rsidSect="00034616">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itleStyle">
    <w:name w:val="TitleStyle"/>
    <w:pPr>
      <w:spacing w:before="0" w:after="240" w:line="400" w:lineRule="exact"/>
    </w:pPr>
    <w:rPr>
      <w:rFonts w:ascii="Yu Mincho" w:hAnsi="Yu Mincho" w:eastAsia="Yu Mincho"/>
      <w:b/>
      <w:sz w:val="32"/>
    </w:rPr>
  </w:style>
  <w:style w:type="paragraph" w:customStyle="1" w:styleId="SubtitleStyle">
    <w:name w:val="SubtitleStyle"/>
    <w:pPr>
      <w:spacing w:before="0" w:after="360" w:line="360" w:lineRule="exact"/>
    </w:pPr>
    <w:rPr>
      <w:rFonts w:ascii="Yu Mincho" w:hAnsi="Yu Mincho" w:eastAsia="Yu Mincho"/>
      <w:b/>
      <w:sz w:val="24"/>
    </w:rPr>
  </w:style>
  <w:style w:type="paragraph" w:customStyle="1" w:styleId="Heading1Style">
    <w:name w:val="Heading1Style"/>
    <w:pPr>
      <w:spacing w:before="240" w:after="120" w:line="360" w:lineRule="exact"/>
    </w:pPr>
    <w:rPr>
      <w:rFonts w:ascii="Yu Gothic" w:hAnsi="Yu Gothic" w:eastAsia="Yu Gothic"/>
      <w:b/>
      <w:sz w:val="26"/>
    </w:rPr>
  </w:style>
  <w:style w:type="paragraph" w:customStyle="1" w:styleId="Heading2Style">
    <w:name w:val="Heading2Style"/>
    <w:pPr>
      <w:spacing w:before="120" w:after="60" w:line="360" w:lineRule="exact"/>
    </w:pPr>
    <w:rPr>
      <w:rFonts w:ascii="Yu Gothic" w:hAnsi="Yu Gothic" w:eastAsia="Yu Gothic"/>
      <w:b/>
      <w:sz w:val="23"/>
    </w:rPr>
  </w:style>
  <w:style w:type="paragraph" w:customStyle="1" w:styleId="BodyStyle">
    <w:name w:val="BodyStyle"/>
    <w:pPr>
      <w:spacing w:before="0" w:after="60" w:line="360" w:lineRule="exact"/>
    </w:pPr>
    <w:rPr>
      <w:rFonts w:ascii="Yu Mincho" w:hAnsi="Yu Mincho" w:eastAsia="Yu Mincho"/>
      <w:b w:val="0"/>
      <w:sz w:val="21"/>
    </w:rPr>
  </w:style>
  <w:style w:type="paragraph" w:customStyle="1" w:styleId="NoteStyle">
    <w:name w:val="NoteStyle"/>
    <w:pPr>
      <w:spacing w:before="0" w:after="0" w:line="240" w:lineRule="exact"/>
    </w:pPr>
    <w:rPr>
      <w:rFonts w:ascii="Yu Mincho" w:hAnsi="Yu Mincho" w:eastAsia="Yu Mincho"/>
      <w:b w:val="0"/>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