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DocTitle"/>
      </w:pPr>
      <w:r>
        <w:t>別紙3</w:t>
      </w:r>
    </w:p>
    <w:p>
      <w:pPr>
        <w:pStyle w:val="DocSubtitle"/>
      </w:pPr>
      <w:r>
        <w:t>GP選定基準及び運用ガバナンス整理</w:t>
      </w:r>
    </w:p>
    <w:p>
      <w:pPr>
        <w:pStyle w:val="Head2"/>
      </w:pPr>
      <w:r>
        <w:t>作成目的</w:t>
      </w:r>
    </w:p>
    <w:p>
      <w:pPr/>
      <w:r>
        <w:t>本別紙は、北日本戦略再設計構想に係る基金運用について、政府と運用主体の役割分担、GP（専門運用主体）の選定基準、政治介入防止措置、利益相反管理、監査及び報告体制を整理し、財務省向け説明資料本文を補足することを目的とする。</w:t>
      </w:r>
    </w:p>
    <w:p>
      <w:pPr>
        <w:pStyle w:val="Head2"/>
      </w:pPr>
      <w:r>
        <w:t>位置づけ</w:t>
      </w:r>
    </w:p>
    <w:p>
      <w:pPr/>
      <w:r>
        <w:t>本別紙は、財務省向け説明資料本文における「投資判断の分離」及び「制度上の歯止め」を具体化する補足資料である。本文では政府を有限責任出資者（LP）、運用主体を専門的知見を有するGPとして整理しており、本別紙はその実務的含意を明確化する。</w:t>
      </w:r>
    </w:p>
    <w:p>
      <w:pPr>
        <w:pStyle w:val="Head1"/>
      </w:pPr>
      <w:r>
        <w:t>0．要旨</w:t>
      </w:r>
    </w:p>
    <w:p>
      <w:pPr>
        <w:pStyle w:val="Head2"/>
      </w:pPr>
      <w:r>
        <w:t>0-1．一行要旨</w:t>
      </w:r>
    </w:p>
    <w:p>
      <w:pPr/>
      <w:r>
        <w:t>本構想における基金運用は、政府をLP、専門運用主体をGPとする分離構造を採用し、政治介入を抑制しつつ、透明性、監査可能性及び停止可能性を確保することを基本とする。</w:t>
      </w:r>
    </w:p>
    <w:p>
      <w:pPr>
        <w:pStyle w:val="Head2"/>
      </w:pPr>
      <w:r>
        <w:t>0-2．要点</w:t>
      </w:r>
    </w:p>
    <w:p>
      <w:pPr>
        <w:ind w:left="340" w:hanging="227"/>
      </w:pPr>
      <w:r>
        <w:t>・運用原則　政府は制度設計及び監督を担い、個別投資判断は専門的能力を有するGPに委ねる。</w:t>
      </w:r>
    </w:p>
    <w:p>
      <w:pPr>
        <w:ind w:left="340" w:hanging="227"/>
      </w:pPr>
      <w:r>
        <w:t>・選定基準　GPには、インフラ投資実績、ファンド運営実績、利益相反管理、情報遮断体制及び監査対応能力を求める。</w:t>
      </w:r>
    </w:p>
    <w:p>
      <w:pPr>
        <w:ind w:left="340" w:hanging="227"/>
      </w:pPr>
      <w:r>
        <w:t>・統制措置　年次報告、会計検査院監査、KPI評価、停止条項を組み合わせ、制度全体として統制可能性を確保する。</w:t>
      </w:r>
    </w:p>
    <w:p>
      <w:pPr>
        <w:pStyle w:val="Head1"/>
      </w:pPr>
      <w:r>
        <w:t>1．本別紙の目的</w:t>
      </w:r>
    </w:p>
    <w:p>
      <w:pPr>
        <w:pStyle w:val="Head2"/>
      </w:pPr>
      <w:r>
        <w:t>1-1．基本認識</w:t>
      </w:r>
    </w:p>
    <w:p>
      <w:pPr/>
      <w:r>
        <w:t>本構想は、時限的国家投資として制度化されることを想定しており、原資設計及び財政規律と並び、誰が、どの範囲で、どのような責任の下で運用するかを明確化する必要がある。</w:t>
      </w:r>
    </w:p>
    <w:p>
      <w:pPr>
        <w:pStyle w:val="Head2"/>
      </w:pPr>
      <w:r>
        <w:t>1-2．問題意識</w:t>
      </w:r>
    </w:p>
    <w:p>
      <w:pPr/>
      <w:r>
        <w:t>財務省向け説明においては、政治的裁量により個別案件が左右されるのではないか、運用主体の選定が恣意的にならないか、利益相反や情報管理は十分か、といった点が主要な確認事項となる。</w:t>
      </w:r>
    </w:p>
    <w:p>
      <w:pPr>
        <w:pStyle w:val="Head2"/>
      </w:pPr>
      <w:r>
        <w:t>1-3．本別紙の役割</w:t>
      </w:r>
    </w:p>
    <w:p>
      <w:pPr/>
      <w:r>
        <w:t>本別紙は、基金運用を「政府の政策判断」と「投資の専門判断」に分離し、ガバナンスを制度化するための基本整理を示すものである。</w:t>
      </w:r>
    </w:p>
    <w:p>
      <w:pPr>
        <w:pStyle w:val="Head1"/>
      </w:pPr>
      <w:r>
        <w:t>2．基本的な運用ガバナンスの考え方</w:t>
      </w:r>
    </w:p>
    <w:p>
      <w:pPr>
        <w:pStyle w:val="Head2"/>
      </w:pPr>
      <w:r>
        <w:t>2-1．役割分担の原則</w:t>
      </w:r>
    </w:p>
    <w:p>
      <w:pPr/>
      <w:r>
        <w:t>本構想における基金運用は、制度設計、予算統制、監督及び停止条件の管理を政府が担う一方、個別案件の発掘、審査、実行及びモニタリングは、専門的知見を有する運用主体が担う構造を基本とする。</w:t>
      </w:r>
    </w:p>
    <w:p>
      <w:pPr>
        <w:pStyle w:val="Head2"/>
      </w:pPr>
      <w:r>
        <w:t>2-2．LP／GP分離の趣旨</w:t>
      </w:r>
    </w:p>
    <w:p>
      <w:pPr/>
      <w:r>
        <w:t>政府をLP、運用主体をGPと整理する趣旨は、政策目的と投資判断の分離にある。これにより、国会統制の下で制度的目的を維持しつつ、個別案件の採否は専門性及び採算性に基づき判断させることができる。</w:t>
      </w:r>
    </w:p>
    <w:p>
      <w:pPr>
        <w:pStyle w:val="Head2"/>
      </w:pPr>
      <w:r>
        <w:t>2-3．制度上の位置づけ</w:t>
      </w:r>
    </w:p>
    <w:p>
      <w:pPr/>
      <w:r>
        <w:t>政府は基金の目的、対象分野、時限、レビュー、停止条件及び監査の枠組みを定めるが、個別案件への直接関与は行わない。この点は、政治介入防止及び信認確保の観点から明確にしておく必要がある。</w:t>
      </w:r>
    </w:p>
    <w:p>
      <w:pPr>
        <w:pStyle w:val="Head1"/>
      </w:pPr>
      <w:r>
        <w:t>3．GP選定基準</w:t>
      </w:r>
    </w:p>
    <w:p>
      <w:pPr>
        <w:pStyle w:val="Head2"/>
      </w:pPr>
      <w:r>
        <w:t>3-1．基本要件</w:t>
      </w:r>
    </w:p>
    <w:p>
      <w:pPr/>
      <w:r>
        <w:t>GPの選定に当たっては、少なくとも次の要件を満たすことを基本とする。</w:t>
      </w:r>
    </w:p>
    <w:p>
      <w:pPr>
        <w:ind w:left="340" w:hanging="227"/>
      </w:pPr>
      <w:r>
        <w:t>・インフラ、エネルギー、デジタル基盤又は類似分野における投資実績を有すること。</w:t>
      </w:r>
    </w:p>
    <w:p>
      <w:pPr>
        <w:ind w:left="340" w:hanging="227"/>
      </w:pPr>
      <w:r>
        <w:t>・複数年にわたるファンド運営実績及び適切な投資回収実績を有すること。</w:t>
      </w:r>
    </w:p>
    <w:p>
      <w:pPr>
        <w:ind w:left="340" w:hanging="227"/>
      </w:pPr>
      <w:r>
        <w:t>・公的資金又は公的性格を有する資金の運用経験を有すること。</w:t>
      </w:r>
    </w:p>
    <w:p>
      <w:pPr>
        <w:ind w:left="340" w:hanging="227"/>
      </w:pPr>
      <w:r>
        <w:t>・会計、法務、技術、リスク管理を含む審査体制を備えること。</w:t>
      </w:r>
    </w:p>
    <w:p>
      <w:pPr>
        <w:pStyle w:val="Head2"/>
      </w:pPr>
      <w:r>
        <w:t>3-2．ガバナンス要件</w:t>
      </w:r>
    </w:p>
    <w:p>
      <w:pPr/>
      <w:r>
        <w:t>運用能力に加え、次のガバナンス要件を重視する。</w:t>
      </w:r>
    </w:p>
    <w:p>
      <w:pPr>
        <w:ind w:left="340" w:hanging="227"/>
      </w:pPr>
      <w:r>
        <w:t>・利益相反管理規程を整備していること。</w:t>
      </w:r>
    </w:p>
    <w:p>
      <w:pPr>
        <w:ind w:left="340" w:hanging="227"/>
      </w:pPr>
      <w:r>
        <w:t>・投資判断の記録及び事後検証が可能であること。</w:t>
      </w:r>
    </w:p>
    <w:p>
      <w:pPr>
        <w:ind w:left="340" w:hanging="227"/>
      </w:pPr>
      <w:r>
        <w:t>・情報遮断体制及び機密管理体制を有すること。</w:t>
      </w:r>
    </w:p>
    <w:p>
      <w:pPr>
        <w:ind w:left="340" w:hanging="227"/>
      </w:pPr>
      <w:r>
        <w:t>・外部監査及び報告対応の実績又は体制を有すること。</w:t>
      </w:r>
    </w:p>
    <w:p>
      <w:pPr>
        <w:pStyle w:val="Head2"/>
      </w:pPr>
      <w:r>
        <w:t>3-3．望ましい補完要件</w:t>
      </w:r>
    </w:p>
    <w:p>
      <w:pPr/>
      <w:r>
        <w:t>国際共同投資レイヤーを念頭に置く場合、海外機関投資家との協働経験、インフラ案件における国際契約実務への対応能力及び英語による説明能力を有することが望ましい。</w:t>
      </w:r>
    </w:p>
    <w:p>
      <w:pPr>
        <w:pStyle w:val="Head1"/>
      </w:pPr>
      <w:r>
        <w:t>4．政治介入防止措置</w:t>
      </w:r>
    </w:p>
    <w:p>
      <w:pPr>
        <w:pStyle w:val="Head2"/>
      </w:pPr>
      <w:r>
        <w:t>4-1．基本原則</w:t>
      </w:r>
    </w:p>
    <w:p>
      <w:pPr/>
      <w:r>
        <w:t>基金運用は、政策目的の達成を前提としつつも、個別案件の採否及び条件設定が政治的要請により左右されないよう制度設計する必要がある。</w:t>
      </w:r>
    </w:p>
    <w:p>
      <w:pPr>
        <w:pStyle w:val="Head2"/>
      </w:pPr>
      <w:r>
        <w:t>4-2．具体的措置</w:t>
      </w:r>
    </w:p>
    <w:p>
      <w:pPr>
        <w:ind w:left="340" w:hanging="227"/>
      </w:pPr>
      <w:r>
        <w:t>・政府は個別案件の採否決定に直接関与しない。</w:t>
      </w:r>
    </w:p>
    <w:p>
      <w:pPr>
        <w:ind w:left="340" w:hanging="227"/>
      </w:pPr>
      <w:r>
        <w:t>・投資対象分野、投資禁止分野、上限規模等はあらかじめ制度上明確化する。</w:t>
      </w:r>
    </w:p>
    <w:p>
      <w:pPr>
        <w:ind w:left="340" w:hanging="227"/>
      </w:pPr>
      <w:r>
        <w:t>・一定額以上の案件は複数名による合議体審査を要件とする。</w:t>
      </w:r>
    </w:p>
    <w:p>
      <w:pPr>
        <w:ind w:left="340" w:hanging="227"/>
      </w:pPr>
      <w:r>
        <w:t>・採否判断の理由、主要前提及び主要リスクを記録し、監査可能な状態を維持する。</w:t>
      </w:r>
    </w:p>
    <w:p>
      <w:pPr>
        <w:pStyle w:val="Head2"/>
      </w:pPr>
      <w:r>
        <w:t>4-3．対象外の明確化</w:t>
      </w:r>
    </w:p>
    <w:p>
      <w:pPr/>
      <w:r>
        <w:t>防衛装備の取得その他軍事目的の投資、政策目的との関連が薄い案件、公益性及び収益性の両立が不明確な案件は対象外とする。対象外を明記することは、制度の境界を明確にし、恣意的拡張を防ぐ上で重要である。</w:t>
      </w:r>
    </w:p>
    <w:p>
      <w:pPr>
        <w:pStyle w:val="Head1"/>
      </w:pPr>
      <w:r>
        <w:t>5．利益相反管理及び情報管理</w:t>
      </w:r>
    </w:p>
    <w:p>
      <w:pPr>
        <w:pStyle w:val="Head2"/>
      </w:pPr>
      <w:r>
        <w:t>5-1．利益相反管理</w:t>
      </w:r>
    </w:p>
    <w:p>
      <w:pPr/>
      <w:r>
        <w:t>GP又はその関係会社が自ら利害関係を有する案件を取り扱う場合には、利益相反の有無を事前に開示し、審査からの除斥又は第三者レビューを行うことを原則とする。</w:t>
      </w:r>
    </w:p>
    <w:p>
      <w:pPr>
        <w:pStyle w:val="Head2"/>
      </w:pPr>
      <w:r>
        <w:t>5-2．情報遮断体制</w:t>
      </w:r>
    </w:p>
    <w:p>
      <w:pPr/>
      <w:r>
        <w:t>政府から得られる政策情報、地域調整情報、国際連携情報及び案件審査情報については、利用目的を限定し、関係者以外への共有を制限する情報遮断体制を整備する。</w:t>
      </w:r>
    </w:p>
    <w:p>
      <w:pPr>
        <w:pStyle w:val="Head2"/>
      </w:pPr>
      <w:r>
        <w:t>5-3．記録可能性</w:t>
      </w:r>
    </w:p>
    <w:p>
      <w:pPr/>
      <w:r>
        <w:t>案件形成から実行、モニタリング及び終了までの主要判断過程について、後から検証可能な記録を維持する。これは、監査、説明責任及び将来の制度改善に不可欠である。</w:t>
      </w:r>
    </w:p>
    <w:p>
      <w:pPr>
        <w:pStyle w:val="Head1"/>
      </w:pPr>
      <w:r>
        <w:t>6．報告、監査及び停止条件との接続</w:t>
      </w:r>
    </w:p>
    <w:p>
      <w:pPr>
        <w:pStyle w:val="Head2"/>
      </w:pPr>
      <w:r>
        <w:t>6-1．年次報告</w:t>
      </w:r>
    </w:p>
    <w:p>
      <w:pPr/>
      <w:r>
        <w:t>GPは、少なくとも毎年度、投資実績、稼働状況、主要リスク、KPI達成状況及び今後の課題を取りまとめ、政府及び必要な監督主体へ報告する。</w:t>
      </w:r>
    </w:p>
    <w:p>
      <w:pPr>
        <w:pStyle w:val="Head2"/>
      </w:pPr>
      <w:r>
        <w:t>6-2．監査</w:t>
      </w:r>
    </w:p>
    <w:p>
      <w:pPr/>
      <w:r>
        <w:t>基金の管理及び出資に関する会計は会計検査院の検査対象とし、必要に応じて外部監査を組み合わせる。これにより、制度面の統制と運用面の透明性を確保する。</w:t>
      </w:r>
    </w:p>
    <w:p>
      <w:pPr>
        <w:pStyle w:val="Head2"/>
      </w:pPr>
      <w:r>
        <w:t>6-3．KPI・停止条件との接続</w:t>
      </w:r>
    </w:p>
    <w:p>
      <w:pPr/>
      <w:r>
        <w:t>GP運用は、制度上設定されたKPI及び停止条件と連動させる。すなわち、5年レビュー時のKPI未達、長期金利3％超の継続その他制度上の停止事由が生じた場合には、新規案件実行を停止し、既存案件の管理に重点を移す。</w:t>
      </w:r>
    </w:p>
    <w:p>
      <w:pPr>
        <w:pStyle w:val="Head2"/>
      </w:pPr>
      <w:r>
        <w:t>6-4．終了時の整理</w:t>
      </w:r>
    </w:p>
    <w:p>
      <w:pPr/>
      <w:r>
        <w:t>制度の時限満了時には、残余財産の帰属、未回収案件の処理、報告資料の保存等について、制度開始時から整理しておく必要がある。</w:t>
      </w:r>
    </w:p>
    <w:p>
      <w:pPr>
        <w:pStyle w:val="Head1"/>
      </w:pPr>
      <w:r>
        <w:t>7．政策評価上の含意</w:t>
      </w:r>
    </w:p>
    <w:p>
      <w:pPr>
        <w:pStyle w:val="Head2"/>
      </w:pPr>
      <w:r>
        <w:t>7-1．財務省向けの意味</w:t>
      </w:r>
    </w:p>
    <w:p>
      <w:pPr/>
      <w:r>
        <w:t>GP選定基準及びガバナンスを明確にすることにより、本構想は単なる政策的スローガンではなく、統制可能な投資制度として整理し得る。これは、原資設計、保険価値試算と並び、財務省向け説明の信頼性を支える要素となる。</w:t>
      </w:r>
    </w:p>
    <w:p>
      <w:pPr>
        <w:pStyle w:val="Head2"/>
      </w:pPr>
      <w:r>
        <w:t>7-2．制度としての含意</w:t>
      </w:r>
    </w:p>
    <w:p>
      <w:pPr/>
      <w:r>
        <w:t>本構想の要点は、政府が政策目的を定め、停止条件と監査を担保しつつ、個別投資判断は専門主体に委ねるという二層構造にある。この二層構造が維持される限り、政治介入の抑制と専門性の両立が可能となる。</w:t>
      </w:r>
    </w:p>
    <w:p>
      <w:pPr>
        <w:pStyle w:val="Head1"/>
      </w:pPr>
      <w:r>
        <w:t>8．留意事項</w:t>
      </w:r>
    </w:p>
    <w:p>
      <w:pPr>
        <w:pStyle w:val="Head2"/>
      </w:pPr>
      <w:r>
        <w:t>8-1．本整理の性格</w:t>
      </w:r>
    </w:p>
    <w:p>
      <w:pPr/>
      <w:r>
        <w:t>本別紙は、制度設計上の基本整理であり、最終的な法案条文、募集要項、委託仕様書又は契約条項を確定するものではない。</w:t>
      </w:r>
    </w:p>
    <w:p>
      <w:pPr>
        <w:pStyle w:val="Head2"/>
      </w:pPr>
      <w:r>
        <w:t>8-2．今後の検討事項</w:t>
      </w:r>
    </w:p>
    <w:p>
      <w:pPr>
        <w:ind w:left="340" w:hanging="227"/>
      </w:pPr>
      <w:r>
        <w:t>・GP公募方式又は指名方式の詳細設計</w:t>
      </w:r>
    </w:p>
    <w:p>
      <w:pPr>
        <w:ind w:left="340" w:hanging="227"/>
      </w:pPr>
      <w:r>
        <w:t>・第三者委員会又は有識者会議の関与の要否</w:t>
      </w:r>
    </w:p>
    <w:p>
      <w:pPr>
        <w:ind w:left="340" w:hanging="227"/>
      </w:pPr>
      <w:r>
        <w:t>・国際共同投資案件に対応した情報管理基準</w:t>
      </w:r>
    </w:p>
    <w:p>
      <w:pPr>
        <w:ind w:left="340" w:hanging="227"/>
      </w:pPr>
      <w:r>
        <w:t>・ESG、コンプライアンス及びサイバーセキュリティ要件</w:t>
      </w:r>
    </w:p>
    <w:p>
      <w:pPr>
        <w:ind w:left="340" w:hanging="227"/>
      </w:pPr>
      <w:r>
        <w:t>・制度終了時の案件承継及び清算方法</w:t>
      </w:r>
    </w:p>
    <w:p>
      <w:pPr>
        <w:pStyle w:val="Head1"/>
      </w:pPr>
      <w:r>
        <w:t>9．結論</w:t>
      </w:r>
    </w:p>
    <w:p>
      <w:pPr/>
      <w:r>
        <w:t>以上のとおり、本構想における基金運用は、政府をLP、専門運用主体をGPとする分離構造を採用し、個別投資判断に対する政治介入を抑制しつつ、選定基準、利益相反管理、情報遮断、報告、監査及び停止条件を組み合わせることで、制度全体としての統制可能性を確保することを基本とする。</w:t>
      </w:r>
    </w:p>
    <w:p>
      <w:pPr/>
      <w:r>
        <w:t>したがって、GP選定基準及び運用ガバナンスの整理は、原資設計及び保険価値試算と並び、財務省向け説明において本構想の実務的信頼性を補強する中核的要素として位置づけることが適当である。</w:t>
      </w:r>
    </w:p>
    <w:p>
      <w:pPr>
        <w:pStyle w:val="Note"/>
      </w:pPr>
      <w:r>
        <w:t>注）本別紙は説明用整理案であり、最終提出時には、法制上の整理及び具体的な公募・選定手続との整合を別途確認する前提である。</w:t>
      </w:r>
    </w:p>
    <w:sectPr w:rsidR="00FC693F" w:rsidRPr="0006063C" w:rsidSect="00034616">
      <w:headerReference w:type="default" r:id="rId9"/>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Times New Roman" w:hAnsi="Times New Roman" w:eastAsia="MS Mincho"/>
        <w:sz w:val="17"/>
      </w:rPr>
      <w:t>財務省向け／別紙3（案）</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Rule="exact" w:line="360" w:after="60"/>
    </w:pPr>
    <w:rPr>
      <w:rFonts w:ascii="Times New Roman" w:hAnsi="Times New Roman" w:eastAsia="MS Mincho"/>
      <w:b w:val="0"/>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pPr>
      <w:spacing w:after="240"/>
      <w:jc w:val="center"/>
    </w:pPr>
    <w:rPr>
      <w:rFonts w:ascii="Times New Roman" w:hAnsi="Times New Roman" w:eastAsia="MS Mincho"/>
      <w:b/>
      <w:sz w:val="32"/>
    </w:rPr>
  </w:style>
  <w:style w:type="paragraph" w:customStyle="1" w:styleId="DocSubtitle">
    <w:name w:val="DocSubtitle"/>
    <w:pPr>
      <w:spacing w:after="360"/>
      <w:jc w:val="center"/>
    </w:pPr>
    <w:rPr>
      <w:rFonts w:ascii="Times New Roman" w:hAnsi="Times New Roman" w:eastAsia="MS Mincho"/>
      <w:b/>
      <w:sz w:val="24"/>
    </w:rPr>
  </w:style>
  <w:style w:type="paragraph" w:customStyle="1" w:styleId="Head1">
    <w:name w:val="Head1"/>
    <w:pPr>
      <w:keepNext/>
      <w:spacing w:before="240" w:after="120"/>
    </w:pPr>
    <w:rPr>
      <w:rFonts w:ascii="Arial" w:hAnsi="Arial" w:eastAsia="MS Gothic"/>
      <w:b/>
      <w:sz w:val="26"/>
    </w:rPr>
  </w:style>
  <w:style w:type="paragraph" w:customStyle="1" w:styleId="Head2">
    <w:name w:val="Head2"/>
    <w:pPr>
      <w:keepNext/>
      <w:spacing w:before="120" w:after="60"/>
    </w:pPr>
    <w:rPr>
      <w:rFonts w:ascii="Arial" w:hAnsi="Arial" w:eastAsia="MS Gothic"/>
      <w:b/>
      <w:sz w:val="23"/>
    </w:rPr>
  </w:style>
  <w:style w:type="paragraph" w:customStyle="1" w:styleId="Note">
    <w:name w:val="Note"/>
    <w:pPr>
      <w:spacing w:lineRule="exact" w:line="240"/>
    </w:pPr>
    <w:rPr>
      <w:rFonts w:ascii="Times New Roman" w:hAnsi="Times New Roman" w:eastAsia="MS Mincho"/>
      <w:b w:val="0"/>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