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B7E59" w14:textId="77777777" w:rsidR="00593121" w:rsidRDefault="00593121"/>
    <w:p w14:paraId="459B0C33" w14:textId="77777777" w:rsidR="00593121" w:rsidRDefault="00593121"/>
    <w:p w14:paraId="682FE1A2" w14:textId="77777777" w:rsidR="00593121" w:rsidRDefault="00593121"/>
    <w:p w14:paraId="0FEFED47" w14:textId="77777777" w:rsidR="00593121" w:rsidRDefault="00593121"/>
    <w:p w14:paraId="026E8614" w14:textId="77777777" w:rsidR="00593121" w:rsidRDefault="00593121"/>
    <w:p w14:paraId="651A531A" w14:textId="77777777" w:rsidR="00593121" w:rsidRDefault="00000000">
      <w:pPr>
        <w:jc w:val="center"/>
      </w:pPr>
      <w:r>
        <w:rPr>
          <w:b/>
          <w:sz w:val="40"/>
        </w:rPr>
        <w:t>北日本戦略再設計構想</w:t>
      </w:r>
    </w:p>
    <w:p w14:paraId="3DF3023C" w14:textId="77777777" w:rsidR="00593121" w:rsidRDefault="00000000">
      <w:pPr>
        <w:jc w:val="center"/>
      </w:pPr>
      <w:r>
        <w:rPr>
          <w:b/>
          <w:sz w:val="34"/>
        </w:rPr>
        <w:t>【別紙D-2　法制整理資料】</w:t>
      </w:r>
    </w:p>
    <w:p w14:paraId="2EA996F5" w14:textId="77777777" w:rsidR="00593121" w:rsidRDefault="00000000">
      <w:pPr>
        <w:jc w:val="center"/>
        <w:rPr>
          <w:lang w:eastAsia="ja-JP"/>
        </w:rPr>
      </w:pPr>
      <w:r>
        <w:rPr>
          <w:b/>
          <w:sz w:val="32"/>
          <w:lang w:eastAsia="ja-JP"/>
        </w:rPr>
        <w:t>制度化論点整理メモ</w:t>
      </w:r>
    </w:p>
    <w:p w14:paraId="3B1102B5" w14:textId="77777777" w:rsidR="00593121" w:rsidRDefault="00000000">
      <w:pPr>
        <w:jc w:val="center"/>
        <w:rPr>
          <w:lang w:eastAsia="ja-JP"/>
        </w:rPr>
      </w:pPr>
      <w:r>
        <w:rPr>
          <w:i/>
          <w:sz w:val="22"/>
          <w:lang w:eastAsia="ja-JP"/>
        </w:rPr>
        <w:t>― 特別措置法の要否・既存法令との整合・委任範囲に関する整理 ―</w:t>
      </w:r>
    </w:p>
    <w:p w14:paraId="16A19B18" w14:textId="77777777" w:rsidR="00593121" w:rsidRDefault="00593121">
      <w:pPr>
        <w:rPr>
          <w:lang w:eastAsia="ja-JP"/>
        </w:rPr>
      </w:pPr>
    </w:p>
    <w:p w14:paraId="50C7AA2E" w14:textId="77777777" w:rsidR="00593121" w:rsidRDefault="00593121">
      <w:pPr>
        <w:rPr>
          <w:lang w:eastAsia="ja-JP"/>
        </w:rPr>
      </w:pPr>
    </w:p>
    <w:p w14:paraId="0B720B45" w14:textId="77777777" w:rsidR="00593121" w:rsidRDefault="00593121">
      <w:pPr>
        <w:rPr>
          <w:lang w:eastAsia="ja-JP"/>
        </w:rPr>
      </w:pPr>
    </w:p>
    <w:p w14:paraId="3126FC22" w14:textId="77777777" w:rsidR="00593121" w:rsidRDefault="00593121">
      <w:pPr>
        <w:rPr>
          <w:lang w:eastAsia="ja-JP"/>
        </w:rPr>
      </w:pPr>
    </w:p>
    <w:p w14:paraId="3FA36251" w14:textId="77777777" w:rsidR="00593121" w:rsidRDefault="00593121">
      <w:pPr>
        <w:rPr>
          <w:lang w:eastAsia="ja-JP"/>
        </w:rPr>
      </w:pPr>
    </w:p>
    <w:p w14:paraId="79FF9F94" w14:textId="77777777" w:rsidR="00593121" w:rsidRDefault="00593121">
      <w:pPr>
        <w:rPr>
          <w:lang w:eastAsia="ja-JP"/>
        </w:rPr>
      </w:pPr>
    </w:p>
    <w:p w14:paraId="5E99EF05" w14:textId="77777777" w:rsidR="00593121" w:rsidRDefault="00593121">
      <w:pPr>
        <w:rPr>
          <w:lang w:eastAsia="ja-JP"/>
        </w:rPr>
      </w:pPr>
    </w:p>
    <w:p w14:paraId="52736F34" w14:textId="77777777" w:rsidR="00593121" w:rsidRDefault="00593121">
      <w:pPr>
        <w:rPr>
          <w:lang w:eastAsia="ja-JP"/>
        </w:rPr>
      </w:pPr>
    </w:p>
    <w:p w14:paraId="317DF64F" w14:textId="77777777" w:rsidR="00593121" w:rsidRDefault="00593121">
      <w:pPr>
        <w:rPr>
          <w:lang w:eastAsia="ja-JP"/>
        </w:rPr>
      </w:pPr>
    </w:p>
    <w:p w14:paraId="485EF510" w14:textId="77777777" w:rsidR="00593121" w:rsidRDefault="00000000">
      <w:pPr>
        <w:jc w:val="center"/>
      </w:pPr>
      <w:proofErr w:type="spellStart"/>
      <w:r>
        <w:rPr>
          <w:sz w:val="22"/>
        </w:rPr>
        <w:t>提出者：新岡</w:t>
      </w:r>
      <w:proofErr w:type="spellEnd"/>
      <w:r>
        <w:rPr>
          <w:sz w:val="22"/>
        </w:rPr>
        <w:t xml:space="preserve"> 昌心</w:t>
      </w:r>
      <w:r>
        <w:rPr>
          <w:sz w:val="22"/>
        </w:rPr>
        <w:br/>
      </w:r>
      <w:proofErr w:type="spellStart"/>
      <w:r>
        <w:rPr>
          <w:sz w:val="22"/>
        </w:rPr>
        <w:t>提出日：令和○年○月○日</w:t>
      </w:r>
      <w:proofErr w:type="spellEnd"/>
    </w:p>
    <w:p w14:paraId="7DEC41C6" w14:textId="77777777" w:rsidR="00593121" w:rsidRDefault="00000000">
      <w:r>
        <w:br w:type="page"/>
      </w:r>
    </w:p>
    <w:tbl>
      <w:tblPr>
        <w:tblStyle w:val="afe"/>
        <w:tblW w:w="0" w:type="auto"/>
        <w:tblLook w:val="04A0" w:firstRow="1" w:lastRow="0" w:firstColumn="1" w:lastColumn="0" w:noHBand="0" w:noVBand="1"/>
      </w:tblPr>
      <w:tblGrid>
        <w:gridCol w:w="4873"/>
        <w:gridCol w:w="4873"/>
      </w:tblGrid>
      <w:tr w:rsidR="00593121" w14:paraId="2D6D89DA" w14:textId="77777777">
        <w:tc>
          <w:tcPr>
            <w:tcW w:w="4873" w:type="dxa"/>
            <w:shd w:val="clear" w:color="auto" w:fill="D9EAF7"/>
            <w:tcMar>
              <w:top w:w="90" w:type="dxa"/>
              <w:left w:w="110" w:type="dxa"/>
              <w:bottom w:w="90" w:type="dxa"/>
              <w:right w:w="110" w:type="dxa"/>
            </w:tcMar>
          </w:tcPr>
          <w:p w14:paraId="6BA43666" w14:textId="77777777" w:rsidR="00593121" w:rsidRDefault="00000000">
            <w:pPr>
              <w:pStyle w:val="BodyTight"/>
              <w:jc w:val="center"/>
            </w:pPr>
            <w:r>
              <w:rPr>
                <w:b/>
              </w:rPr>
              <w:lastRenderedPageBreak/>
              <w:t>作成目的</w:t>
            </w:r>
          </w:p>
        </w:tc>
        <w:tc>
          <w:tcPr>
            <w:tcW w:w="4873" w:type="dxa"/>
            <w:tcMar>
              <w:top w:w="90" w:type="dxa"/>
              <w:left w:w="110" w:type="dxa"/>
              <w:bottom w:w="90" w:type="dxa"/>
              <w:right w:w="110" w:type="dxa"/>
            </w:tcMar>
          </w:tcPr>
          <w:p w14:paraId="15C7CF6F" w14:textId="77777777" w:rsidR="00593121" w:rsidRDefault="00000000">
            <w:pPr>
              <w:pStyle w:val="BodyTight"/>
              <w:rPr>
                <w:lang w:eastAsia="ja-JP"/>
              </w:rPr>
            </w:pPr>
            <w:r>
              <w:rPr>
                <w:lang w:eastAsia="ja-JP"/>
              </w:rPr>
              <w:t>本資料は、北日本戦略再設計構想の制度化に関連し、特別措置法の要否、既存法令との整合、対象限定及び除外規定、統制装置並びに委任範囲の整理等、法技術上の主要論点を明確化することを目的として作成するものである。</w:t>
            </w:r>
          </w:p>
        </w:tc>
      </w:tr>
      <w:tr w:rsidR="00593121" w14:paraId="57547271" w14:textId="77777777">
        <w:tc>
          <w:tcPr>
            <w:tcW w:w="4873" w:type="dxa"/>
            <w:shd w:val="clear" w:color="auto" w:fill="D9EAF7"/>
            <w:tcMar>
              <w:top w:w="90" w:type="dxa"/>
              <w:left w:w="110" w:type="dxa"/>
              <w:bottom w:w="90" w:type="dxa"/>
              <w:right w:w="110" w:type="dxa"/>
            </w:tcMar>
          </w:tcPr>
          <w:p w14:paraId="5E4E3055" w14:textId="77777777" w:rsidR="00593121" w:rsidRDefault="00000000">
            <w:pPr>
              <w:pStyle w:val="BodyTight"/>
              <w:jc w:val="center"/>
            </w:pPr>
            <w:proofErr w:type="spellStart"/>
            <w:r>
              <w:rPr>
                <w:b/>
              </w:rPr>
              <w:t>位置づけ</w:t>
            </w:r>
            <w:proofErr w:type="spellEnd"/>
          </w:p>
        </w:tc>
        <w:tc>
          <w:tcPr>
            <w:tcW w:w="4873" w:type="dxa"/>
            <w:tcMar>
              <w:top w:w="90" w:type="dxa"/>
              <w:left w:w="110" w:type="dxa"/>
              <w:bottom w:w="90" w:type="dxa"/>
              <w:right w:w="110" w:type="dxa"/>
            </w:tcMar>
          </w:tcPr>
          <w:p w14:paraId="78A1194C" w14:textId="77777777" w:rsidR="00593121" w:rsidRDefault="00000000">
            <w:pPr>
              <w:pStyle w:val="BodyTight"/>
              <w:rPr>
                <w:lang w:eastAsia="ja-JP"/>
              </w:rPr>
            </w:pPr>
            <w:r>
              <w:rPr>
                <w:lang w:eastAsia="ja-JP"/>
              </w:rPr>
              <w:t>本資料は、制度化段階における初期的論点整理資料であり、正式な法令審査資料又は最終的な制度設計案そのものではない。今後、関係府省庁との役割分担整理、財政法その他関連法令との整合確認及び法技術上の精査を踏まえて、必要に応じて修正・補充を行う前提で取りまとめたものである。</w:t>
            </w:r>
          </w:p>
        </w:tc>
      </w:tr>
    </w:tbl>
    <w:p w14:paraId="5DB74060" w14:textId="77777777" w:rsidR="00593121" w:rsidRDefault="00593121">
      <w:pPr>
        <w:rPr>
          <w:lang w:eastAsia="ja-JP"/>
        </w:rPr>
      </w:pPr>
    </w:p>
    <w:p w14:paraId="5A2D8F38" w14:textId="77777777" w:rsidR="00593121" w:rsidRDefault="00000000">
      <w:pPr>
        <w:pStyle w:val="BodyTight"/>
        <w:rPr>
          <w:lang w:eastAsia="ja-JP"/>
        </w:rPr>
      </w:pPr>
      <w:r>
        <w:rPr>
          <w:lang w:eastAsia="ja-JP"/>
        </w:rPr>
        <w:t>本メモは、北日本戦略再設計構想の制度化に関連し、特別措置法の要否、既存法令との整合、対象限定及び除外規定、統制装置並びに法律事項と政令委任事項の切分け等、法技術上の主要論点を整理するものである。</w:t>
      </w:r>
    </w:p>
    <w:p w14:paraId="20DC4A36" w14:textId="77777777" w:rsidR="00593121" w:rsidRDefault="00000000">
      <w:pPr>
        <w:pStyle w:val="BodyTight"/>
        <w:rPr>
          <w:lang w:eastAsia="ja-JP"/>
        </w:rPr>
      </w:pPr>
      <w:r>
        <w:rPr>
          <w:lang w:eastAsia="ja-JP"/>
        </w:rPr>
        <w:t>本構想は、北日本地域における経済、物流、エネルギー、計算基盤及び国家継続性の再設計を図るものであり、政策構想の段階にとどまらず、基金、出資、管理、監督、禁止規定及び時限措置を伴う制度としての具体化を前提としている。このため、制度化段階においては、単なる政策目的の提示では足りず、法令として成立し得る法的器の整理が不可欠となる。</w:t>
      </w:r>
    </w:p>
    <w:p w14:paraId="3E17BE8D" w14:textId="77777777" w:rsidR="00593121" w:rsidRDefault="00000000">
      <w:pPr>
        <w:pStyle w:val="SectionHeadJP"/>
        <w:rPr>
          <w:lang w:eastAsia="ja-JP"/>
        </w:rPr>
      </w:pPr>
      <w:r>
        <w:rPr>
          <w:lang w:eastAsia="ja-JP"/>
        </w:rPr>
        <w:t>1．制度化整理が必要となる理由</w:t>
      </w:r>
    </w:p>
    <w:p w14:paraId="2FF60542" w14:textId="77777777" w:rsidR="00593121" w:rsidRDefault="00000000">
      <w:pPr>
        <w:pStyle w:val="SubHeadJP"/>
        <w:rPr>
          <w:lang w:eastAsia="ja-JP"/>
        </w:rPr>
      </w:pPr>
      <w:r>
        <w:rPr>
          <w:lang w:eastAsia="ja-JP"/>
        </w:rPr>
        <w:t>1-1．政策構想から制度実装への移行</w:t>
      </w:r>
    </w:p>
    <w:p w14:paraId="0C348D3F" w14:textId="77777777" w:rsidR="00593121" w:rsidRDefault="00000000">
      <w:pPr>
        <w:pStyle w:val="BodyTight"/>
        <w:rPr>
          <w:lang w:eastAsia="ja-JP"/>
        </w:rPr>
      </w:pPr>
      <w:r>
        <w:rPr>
          <w:lang w:eastAsia="ja-JP"/>
        </w:rPr>
        <w:t>北日本戦略再設計構想は、単なる政策理念又は地域振興構想にとどまらず、基金、出資、管理主体、投資対象、対象外規定、監査、報告、時限及び停止条項を伴う制度としての具体化を前提としている。</w:t>
      </w:r>
    </w:p>
    <w:p w14:paraId="571B5C50" w14:textId="77777777" w:rsidR="00593121" w:rsidRDefault="00000000">
      <w:pPr>
        <w:pStyle w:val="BodyTight"/>
        <w:rPr>
          <w:lang w:eastAsia="ja-JP"/>
        </w:rPr>
      </w:pPr>
      <w:r>
        <w:rPr>
          <w:lang w:eastAsia="ja-JP"/>
        </w:rPr>
        <w:t>このため、本構想を実装段階へ移行させるに当たっては、政策目的の整理のみでは足りず、制度として成立し得る法的根拠及び法的器の明確化が必要となる。</w:t>
      </w:r>
    </w:p>
    <w:p w14:paraId="4FB14C44" w14:textId="77777777" w:rsidR="00593121" w:rsidRDefault="00000000">
      <w:pPr>
        <w:pStyle w:val="BodyTight"/>
        <w:rPr>
          <w:lang w:eastAsia="ja-JP"/>
        </w:rPr>
      </w:pPr>
      <w:r>
        <w:rPr>
          <w:lang w:eastAsia="ja-JP"/>
        </w:rPr>
        <w:lastRenderedPageBreak/>
        <w:t>特に、NEASIFに係る枠組みは、一般会計、特別会計、政府出資、民間運用及び国際共同投資を相互に接続する性質を有するため、法令上の整理を欠いたまま実施することは困難である。</w:t>
      </w:r>
    </w:p>
    <w:p w14:paraId="5FC7B96C" w14:textId="77777777" w:rsidR="00593121" w:rsidRDefault="00000000">
      <w:pPr>
        <w:pStyle w:val="SubHeadJP"/>
        <w:rPr>
          <w:lang w:eastAsia="ja-JP"/>
        </w:rPr>
      </w:pPr>
      <w:r>
        <w:rPr>
          <w:lang w:eastAsia="ja-JP"/>
        </w:rPr>
        <w:t>1-2．既存法令の単純な組合せでは整理し難い理由</w:t>
      </w:r>
    </w:p>
    <w:p w14:paraId="0C215395" w14:textId="77777777" w:rsidR="00593121" w:rsidRDefault="00000000">
      <w:pPr>
        <w:pStyle w:val="BodyTight"/>
        <w:rPr>
          <w:lang w:eastAsia="ja-JP"/>
        </w:rPr>
      </w:pPr>
      <w:r>
        <w:rPr>
          <w:lang w:eastAsia="ja-JP"/>
        </w:rPr>
        <w:t>本構想は、財政、基金、投資、監督、禁止規定、透明性確保及び時限措置を横断的に含むものであり、単一の既存法令又は既存制度の単純な準用のみでは十分に整理し難い。</w:t>
      </w:r>
    </w:p>
    <w:p w14:paraId="75902B74" w14:textId="77777777" w:rsidR="00593121" w:rsidRDefault="00000000">
      <w:pPr>
        <w:pStyle w:val="BodyTight"/>
        <w:rPr>
          <w:lang w:eastAsia="ja-JP"/>
        </w:rPr>
      </w:pPr>
      <w:r>
        <w:rPr>
          <w:lang w:eastAsia="ja-JP"/>
        </w:rPr>
        <w:t>たとえば、財源の位置づけに関しては財政法及び特別会計との整合が問題となり、基金の管理及び支出については予算統制及び監査との接続が論点となる。</w:t>
      </w:r>
    </w:p>
    <w:p w14:paraId="36E0076A" w14:textId="77777777" w:rsidR="00593121" w:rsidRDefault="00000000">
      <w:pPr>
        <w:pStyle w:val="BodyTight"/>
        <w:rPr>
          <w:lang w:eastAsia="ja-JP"/>
        </w:rPr>
      </w:pPr>
      <w:r>
        <w:rPr>
          <w:lang w:eastAsia="ja-JP"/>
        </w:rPr>
        <w:t>また、投資対象の限定、防衛装備取得の除外、政府の個別案件への直接関与制限等については、本制度固有の趣旨に即した明文整理が必要である。</w:t>
      </w:r>
    </w:p>
    <w:p w14:paraId="4B89342A" w14:textId="77777777" w:rsidR="00593121" w:rsidRDefault="00000000">
      <w:pPr>
        <w:pStyle w:val="BodyTight"/>
        <w:rPr>
          <w:lang w:eastAsia="ja-JP"/>
        </w:rPr>
      </w:pPr>
      <w:r>
        <w:rPr>
          <w:lang w:eastAsia="ja-JP"/>
        </w:rPr>
        <w:t>このように、本構想の実装には、既存法体系との整合を図りつつ、本構想特有の目的、範囲及び統制装置を一体として整理する作業が不可欠である。</w:t>
      </w:r>
    </w:p>
    <w:p w14:paraId="69A3141C" w14:textId="77777777" w:rsidR="00593121" w:rsidRDefault="00000000">
      <w:pPr>
        <w:pStyle w:val="SubHeadJP"/>
        <w:rPr>
          <w:lang w:eastAsia="ja-JP"/>
        </w:rPr>
      </w:pPr>
      <w:r>
        <w:rPr>
          <w:lang w:eastAsia="ja-JP"/>
        </w:rPr>
        <w:t>1-3．特別措置法による整理を検討する合理性</w:t>
      </w:r>
    </w:p>
    <w:p w14:paraId="304762BF" w14:textId="77777777" w:rsidR="00593121" w:rsidRDefault="00000000">
      <w:pPr>
        <w:pStyle w:val="BodyTight"/>
        <w:rPr>
          <w:lang w:eastAsia="ja-JP"/>
        </w:rPr>
      </w:pPr>
      <w:r>
        <w:rPr>
          <w:lang w:eastAsia="ja-JP"/>
        </w:rPr>
        <w:t>本構想において想定される制度は、北日本地域における重要基盤整備を対象とし、一定の財政規律及び統制措置の下で、政府出資と民間運用を組み合わせる点に特徴を有する。</w:t>
      </w:r>
    </w:p>
    <w:p w14:paraId="3DA3F46E" w14:textId="77777777" w:rsidR="00593121" w:rsidRDefault="00000000">
      <w:pPr>
        <w:pStyle w:val="BodyTight"/>
        <w:rPr>
          <w:lang w:eastAsia="ja-JP"/>
        </w:rPr>
      </w:pPr>
      <w:r>
        <w:rPr>
          <w:lang w:eastAsia="ja-JP"/>
        </w:rPr>
        <w:t>このような制度を安定的に実施するためには、目的、対象、財源、管理主体、投資対象、除外対象、時限及び監督を横断的に定める必要があるため、必要に応じて時限的な特別措置法による整理を検討する合理性が認められる。</w:t>
      </w:r>
    </w:p>
    <w:p w14:paraId="55E4FEE5" w14:textId="77777777" w:rsidR="00593121" w:rsidRDefault="00000000">
      <w:pPr>
        <w:pStyle w:val="BodyTight"/>
        <w:rPr>
          <w:lang w:eastAsia="ja-JP"/>
        </w:rPr>
      </w:pPr>
      <w:r>
        <w:rPr>
          <w:lang w:eastAsia="ja-JP"/>
        </w:rPr>
        <w:t>もっとも、その場合であっても、特別措置法は例外的制度であることに鑑み、既存法令との整合、法律事項と政令委任事項の切分け及び制度の恒久化を防ぐ統制措置を明確にすることが前提となる。</w:t>
      </w:r>
    </w:p>
    <w:p w14:paraId="4D13765A" w14:textId="77777777" w:rsidR="00593121" w:rsidRDefault="00000000">
      <w:pPr>
        <w:pStyle w:val="SectionHeadJP"/>
        <w:rPr>
          <w:lang w:eastAsia="ja-JP"/>
        </w:rPr>
      </w:pPr>
      <w:r>
        <w:rPr>
          <w:lang w:eastAsia="ja-JP"/>
        </w:rPr>
        <w:t>2．特別措置法の要否</w:t>
      </w:r>
    </w:p>
    <w:p w14:paraId="7EB02864" w14:textId="77777777" w:rsidR="00593121" w:rsidRDefault="00000000">
      <w:pPr>
        <w:pStyle w:val="SubHeadJP"/>
        <w:rPr>
          <w:lang w:eastAsia="ja-JP"/>
        </w:rPr>
      </w:pPr>
      <w:r>
        <w:rPr>
          <w:lang w:eastAsia="ja-JP"/>
        </w:rPr>
        <w:t>2-1．既存法令による処理可能範囲</w:t>
      </w:r>
    </w:p>
    <w:p w14:paraId="470A9264" w14:textId="77777777" w:rsidR="00593121" w:rsidRDefault="00000000">
      <w:pPr>
        <w:pStyle w:val="BodyTight"/>
        <w:rPr>
          <w:lang w:eastAsia="ja-JP"/>
        </w:rPr>
      </w:pPr>
      <w:r>
        <w:rPr>
          <w:lang w:eastAsia="ja-JP"/>
        </w:rPr>
        <w:t>本構想に係る制度化を検討するに当たっては、まず、既存法令の組合せにより処理可能な範囲を見極める必要がある。</w:t>
      </w:r>
    </w:p>
    <w:p w14:paraId="7B9EEF26" w14:textId="77777777" w:rsidR="00593121" w:rsidRDefault="00000000">
      <w:pPr>
        <w:pStyle w:val="BodyTight"/>
        <w:rPr>
          <w:lang w:eastAsia="ja-JP"/>
        </w:rPr>
      </w:pPr>
      <w:r>
        <w:rPr>
          <w:lang w:eastAsia="ja-JP"/>
        </w:rPr>
        <w:t>たとえば、予算措置、一般会計上の支出、会計検査院による監査及び国会報告等については、既存の財政・会計関連法令の枠組みを前提として整理することが可能である。</w:t>
      </w:r>
    </w:p>
    <w:p w14:paraId="1B49896E" w14:textId="77777777" w:rsidR="00593121" w:rsidRDefault="00000000">
      <w:pPr>
        <w:pStyle w:val="BodyTight"/>
        <w:rPr>
          <w:lang w:eastAsia="ja-JP"/>
        </w:rPr>
      </w:pPr>
      <w:r>
        <w:rPr>
          <w:lang w:eastAsia="ja-JP"/>
        </w:rPr>
        <w:t>また、基金の具体的運営、報告様式、対象区域の細目等、制度の技術的・運用的部分については、既存制度との整合を図りつつ、政令又は下位規範に委ねる余地がある。</w:t>
      </w:r>
    </w:p>
    <w:p w14:paraId="6F2A07EA" w14:textId="77777777" w:rsidR="00593121" w:rsidRDefault="00000000">
      <w:pPr>
        <w:pStyle w:val="SubHeadJP"/>
        <w:rPr>
          <w:lang w:eastAsia="ja-JP"/>
        </w:rPr>
      </w:pPr>
      <w:r>
        <w:rPr>
          <w:lang w:eastAsia="ja-JP"/>
        </w:rPr>
        <w:lastRenderedPageBreak/>
        <w:t>2-2．特別措置法を要する範囲</w:t>
      </w:r>
    </w:p>
    <w:p w14:paraId="3A7E9CBC" w14:textId="77777777" w:rsidR="00593121" w:rsidRDefault="00000000">
      <w:pPr>
        <w:pStyle w:val="BodyTight"/>
        <w:rPr>
          <w:lang w:eastAsia="ja-JP"/>
        </w:rPr>
      </w:pPr>
      <w:r>
        <w:rPr>
          <w:lang w:eastAsia="ja-JP"/>
        </w:rPr>
        <w:t>他方で、本構想の中核を成すNEASIFについては、目的、対象地域、基金設置、管理主体、財源、政府出資、民間運用、投資対象限定、対象外規定、時限、評価及び停止条項を、一体的に制度として整理する必要がある。</w:t>
      </w:r>
    </w:p>
    <w:p w14:paraId="264FB489" w14:textId="77777777" w:rsidR="00593121" w:rsidRDefault="00000000">
      <w:pPr>
        <w:pStyle w:val="BodyTight"/>
        <w:rPr>
          <w:lang w:eastAsia="ja-JP"/>
        </w:rPr>
      </w:pPr>
      <w:r>
        <w:rPr>
          <w:lang w:eastAsia="ja-JP"/>
        </w:rPr>
        <w:t>これらの事項は、既存法令の単純な準用又は個別法の部分的援用のみでは、制度趣旨を十分に表現し難く、また、対象範囲及び統制措置の明確化という観点からも不十分となるおそれがある。</w:t>
      </w:r>
    </w:p>
    <w:p w14:paraId="5ACDB63F" w14:textId="77777777" w:rsidR="00593121" w:rsidRDefault="00000000">
      <w:pPr>
        <w:pStyle w:val="BodyTight"/>
        <w:rPr>
          <w:lang w:eastAsia="ja-JP"/>
        </w:rPr>
      </w:pPr>
      <w:r>
        <w:rPr>
          <w:lang w:eastAsia="ja-JP"/>
        </w:rPr>
        <w:t>特に、防衛装備取得又は軍事目的投資を対象外とする点、政府の個別案件への直接関与を制限する点、並びに十五年時限、五年評価及び金利三パーセント停止条項を制度の中核に据える点については、本制度固有の趣旨として明文整理を要する可能性が高い。</w:t>
      </w:r>
    </w:p>
    <w:p w14:paraId="20D57DDC" w14:textId="77777777" w:rsidR="00593121" w:rsidRDefault="00000000">
      <w:pPr>
        <w:pStyle w:val="SubHeadJP"/>
        <w:rPr>
          <w:lang w:eastAsia="ja-JP"/>
        </w:rPr>
      </w:pPr>
      <w:r>
        <w:rPr>
          <w:lang w:eastAsia="ja-JP"/>
        </w:rPr>
        <w:t>2-3．時限的特別措置法とする合理性</w:t>
      </w:r>
    </w:p>
    <w:p w14:paraId="394A14C6" w14:textId="77777777" w:rsidR="00593121" w:rsidRDefault="00000000">
      <w:pPr>
        <w:pStyle w:val="BodyTight"/>
        <w:rPr>
          <w:lang w:eastAsia="ja-JP"/>
        </w:rPr>
      </w:pPr>
      <w:r>
        <w:rPr>
          <w:lang w:eastAsia="ja-JP"/>
        </w:rPr>
        <w:t>本構想に係る制度は、恒久的な一般制度としてではなく、一定期間に限って国家基盤再設計を推進するための時限的措置として整理することに合理性がある。</w:t>
      </w:r>
    </w:p>
    <w:p w14:paraId="6A0BBE14" w14:textId="77777777" w:rsidR="00593121" w:rsidRDefault="00000000">
      <w:pPr>
        <w:pStyle w:val="BodyTight"/>
        <w:rPr>
          <w:lang w:eastAsia="ja-JP"/>
        </w:rPr>
      </w:pPr>
      <w:r>
        <w:rPr>
          <w:lang w:eastAsia="ja-JP"/>
        </w:rPr>
        <w:t>すなわち、本制度は、北日本地域における重要基盤整備を中長期的に促進しつつも、財政規律、市場信認及び制度の肥大化回避を重視するものであり、そのためには、時限、評価及び停止条項を制度の内部に組み込んだ特別措置法が適している。</w:t>
      </w:r>
    </w:p>
    <w:p w14:paraId="5F87F069" w14:textId="77777777" w:rsidR="00593121" w:rsidRDefault="00000000">
      <w:pPr>
        <w:pStyle w:val="BodyTight"/>
        <w:rPr>
          <w:lang w:eastAsia="ja-JP"/>
        </w:rPr>
      </w:pPr>
      <w:r>
        <w:rPr>
          <w:lang w:eastAsia="ja-JP"/>
        </w:rPr>
        <w:t>このような時限立法の形式を採ることにより、本制度の目的、対象及び統制措置を明確にした上で、関係府省庁及び国会に対しても制度の範囲と限界を示しやすくなる。</w:t>
      </w:r>
    </w:p>
    <w:p w14:paraId="7D1EE29A" w14:textId="77777777" w:rsidR="00593121" w:rsidRDefault="00000000">
      <w:pPr>
        <w:pStyle w:val="BodyTight"/>
        <w:rPr>
          <w:lang w:eastAsia="ja-JP"/>
        </w:rPr>
      </w:pPr>
      <w:r>
        <w:rPr>
          <w:lang w:eastAsia="ja-JP"/>
        </w:rPr>
        <w:t>したがって、本構想の制度化に当たっては、既存法令との整合を十分に図りつつ、必要に応じて時限的な特別措置法による整理を検討することが妥当と考えられる。</w:t>
      </w:r>
    </w:p>
    <w:p w14:paraId="24E834D1" w14:textId="77777777" w:rsidR="00593121" w:rsidRDefault="00000000">
      <w:pPr>
        <w:pStyle w:val="SectionHeadJP"/>
        <w:rPr>
          <w:lang w:eastAsia="ja-JP"/>
        </w:rPr>
      </w:pPr>
      <w:r>
        <w:rPr>
          <w:lang w:eastAsia="ja-JP"/>
        </w:rPr>
        <w:t>3．想定される法的器の基本骨格</w:t>
      </w:r>
    </w:p>
    <w:p w14:paraId="7B3F0DF7" w14:textId="77777777" w:rsidR="00593121" w:rsidRDefault="00000000">
      <w:pPr>
        <w:pStyle w:val="SubHeadJP"/>
        <w:rPr>
          <w:lang w:eastAsia="ja-JP"/>
        </w:rPr>
      </w:pPr>
      <w:r>
        <w:rPr>
          <w:lang w:eastAsia="ja-JP"/>
        </w:rPr>
        <w:t>3-1．全体構造</w:t>
      </w:r>
    </w:p>
    <w:p w14:paraId="3D07A6FB" w14:textId="77777777" w:rsidR="00593121" w:rsidRDefault="00000000">
      <w:pPr>
        <w:pStyle w:val="BodyTight"/>
        <w:rPr>
          <w:lang w:eastAsia="ja-JP"/>
        </w:rPr>
      </w:pPr>
      <w:r>
        <w:rPr>
          <w:lang w:eastAsia="ja-JP"/>
        </w:rPr>
        <w:t>本構想に係る制度化を進めるに当たっては、法的器として、少なくとも総則、基金の設置及び管理、出資及び運用、投資対象及び対象外規定、財政規律及び統制措置、監査及び報告並びに解散及び残余財産に関する章立てを備えることが考えられる。</w:t>
      </w:r>
    </w:p>
    <w:p w14:paraId="699DB489" w14:textId="77777777" w:rsidR="00593121" w:rsidRDefault="00000000">
      <w:pPr>
        <w:pStyle w:val="BodyTight"/>
        <w:rPr>
          <w:lang w:eastAsia="ja-JP"/>
        </w:rPr>
      </w:pPr>
      <w:r>
        <w:rPr>
          <w:lang w:eastAsia="ja-JP"/>
        </w:rPr>
        <w:t>このような構成を採ることにより、本制度の目的、対象、財源、運営原則及び統制措置を一体として明示することが可能となる。</w:t>
      </w:r>
    </w:p>
    <w:p w14:paraId="6223E54D" w14:textId="77777777" w:rsidR="00593121" w:rsidRDefault="00000000">
      <w:pPr>
        <w:pStyle w:val="BodyTight"/>
        <w:rPr>
          <w:lang w:eastAsia="ja-JP"/>
        </w:rPr>
      </w:pPr>
      <w:r>
        <w:rPr>
          <w:lang w:eastAsia="ja-JP"/>
        </w:rPr>
        <w:t>また、制度の趣旨及び限界を法律上明確にすることにより、既存法体系との接続関係及び関係府省庁の役割分担も整理しやすくなる。</w:t>
      </w:r>
    </w:p>
    <w:p w14:paraId="1620ACA4" w14:textId="77777777" w:rsidR="00593121" w:rsidRDefault="00000000">
      <w:pPr>
        <w:pStyle w:val="SubHeadJP"/>
        <w:rPr>
          <w:lang w:eastAsia="ja-JP"/>
        </w:rPr>
      </w:pPr>
      <w:r>
        <w:rPr>
          <w:lang w:eastAsia="ja-JP"/>
        </w:rPr>
        <w:lastRenderedPageBreak/>
        <w:t>3-2．総則において整理すべき事項</w:t>
      </w:r>
    </w:p>
    <w:p w14:paraId="7E8BD81B" w14:textId="77777777" w:rsidR="00593121" w:rsidRDefault="00000000">
      <w:pPr>
        <w:pStyle w:val="BodyTight"/>
        <w:rPr>
          <w:lang w:eastAsia="ja-JP"/>
        </w:rPr>
      </w:pPr>
      <w:r>
        <w:rPr>
          <w:lang w:eastAsia="ja-JP"/>
        </w:rPr>
        <w:t>総則においては、制度目的、基本理念、対象地域、重要基盤整備の範囲その他本制度の解釈の基礎となる事項を定める必要がある。</w:t>
      </w:r>
    </w:p>
    <w:p w14:paraId="55EE7D6B" w14:textId="77777777" w:rsidR="00593121" w:rsidRDefault="00000000">
      <w:pPr>
        <w:pStyle w:val="BodyTight"/>
        <w:rPr>
          <w:lang w:eastAsia="ja-JP"/>
        </w:rPr>
      </w:pPr>
      <w:r>
        <w:rPr>
          <w:lang w:eastAsia="ja-JP"/>
        </w:rPr>
        <w:t>特に、本制度が北日本地域における重要基盤整備を通じて国家継続性及び経済安全保障に寄与するものであること、平時は成長投資であり非常時は継続性確保の保険として位置づくこと、及び軍拡を目的とするものではないことを明示することが重要である。</w:t>
      </w:r>
    </w:p>
    <w:p w14:paraId="394E4438" w14:textId="77777777" w:rsidR="00593121" w:rsidRDefault="00000000">
      <w:pPr>
        <w:pStyle w:val="BodyTight"/>
        <w:rPr>
          <w:lang w:eastAsia="ja-JP"/>
        </w:rPr>
      </w:pPr>
      <w:r>
        <w:rPr>
          <w:lang w:eastAsia="ja-JP"/>
        </w:rPr>
        <w:t>この整理により、後続の各章に置かれる出資、対象限定、除外規定及び統制措置の趣旨が法体系上も理解しやすくなる。</w:t>
      </w:r>
    </w:p>
    <w:p w14:paraId="0A9BE3BA" w14:textId="77777777" w:rsidR="00593121" w:rsidRDefault="00000000">
      <w:pPr>
        <w:pStyle w:val="SubHeadJP"/>
        <w:rPr>
          <w:lang w:eastAsia="ja-JP"/>
        </w:rPr>
      </w:pPr>
      <w:r>
        <w:rPr>
          <w:lang w:eastAsia="ja-JP"/>
        </w:rPr>
        <w:t>3-3．基金・出資・運用に関する章立て</w:t>
      </w:r>
    </w:p>
    <w:p w14:paraId="197BFFB5" w14:textId="77777777" w:rsidR="00593121" w:rsidRDefault="00000000">
      <w:pPr>
        <w:pStyle w:val="BodyTight"/>
        <w:rPr>
          <w:lang w:eastAsia="ja-JP"/>
        </w:rPr>
      </w:pPr>
      <w:r>
        <w:rPr>
          <w:lang w:eastAsia="ja-JP"/>
        </w:rPr>
        <w:t>基金の設置及び管理に関する章では、基金の法的位置づけ、管理主体及び用途を整理する必要がある。</w:t>
      </w:r>
    </w:p>
    <w:p w14:paraId="450D91E1" w14:textId="77777777" w:rsidR="00593121" w:rsidRDefault="00000000">
      <w:pPr>
        <w:pStyle w:val="BodyTight"/>
        <w:rPr>
          <w:lang w:eastAsia="ja-JP"/>
        </w:rPr>
      </w:pPr>
      <w:r>
        <w:rPr>
          <w:lang w:eastAsia="ja-JP"/>
        </w:rPr>
        <w:t>出資及び運用に関する章では、政府の地位、民間GP運用の考え方、個別案件への直接関与制限及び運用原則を定めることが適当である。</w:t>
      </w:r>
    </w:p>
    <w:p w14:paraId="34A23763" w14:textId="77777777" w:rsidR="00593121" w:rsidRDefault="00000000">
      <w:pPr>
        <w:pStyle w:val="BodyTight"/>
        <w:rPr>
          <w:lang w:eastAsia="ja-JP"/>
        </w:rPr>
      </w:pPr>
      <w:r>
        <w:rPr>
          <w:lang w:eastAsia="ja-JP"/>
        </w:rPr>
        <w:t>この点、本制度の特質は、一般会計を通じた基金の設置と、民間運用による投資判断を組み合わせることにあるため、政府と運用主体の関係、責任分担及び関与制限を法律上明確にしておくことが不可欠である。</w:t>
      </w:r>
    </w:p>
    <w:p w14:paraId="4E3391DA" w14:textId="77777777" w:rsidR="00593121" w:rsidRDefault="00000000">
      <w:pPr>
        <w:pStyle w:val="SubHeadJP"/>
        <w:rPr>
          <w:lang w:eastAsia="ja-JP"/>
        </w:rPr>
      </w:pPr>
      <w:r>
        <w:rPr>
          <w:lang w:eastAsia="ja-JP"/>
        </w:rPr>
        <w:t>3-4．対象限定・対象外規定に関する章立て</w:t>
      </w:r>
    </w:p>
    <w:p w14:paraId="2B6F3D93" w14:textId="77777777" w:rsidR="00593121" w:rsidRDefault="00000000">
      <w:pPr>
        <w:pStyle w:val="BodyTight"/>
        <w:rPr>
          <w:lang w:eastAsia="ja-JP"/>
        </w:rPr>
      </w:pPr>
      <w:r>
        <w:rPr>
          <w:lang w:eastAsia="ja-JP"/>
        </w:rPr>
        <w:t>投資対象及び対象外規定に関する章では、エネルギー基盤、半導体後工程、港湾・空港、物流、計算資本及び国際共同投資等、本制度が対象とする事業を列挙又は類型化するとともに、防衛装備取得又は軍事目的投資を対象外とする旨を明文化する必要がある。</w:t>
      </w:r>
    </w:p>
    <w:p w14:paraId="659A0106" w14:textId="77777777" w:rsidR="00593121" w:rsidRDefault="00000000">
      <w:pPr>
        <w:pStyle w:val="BodyTight"/>
        <w:rPr>
          <w:lang w:eastAsia="ja-JP"/>
        </w:rPr>
      </w:pPr>
      <w:r>
        <w:rPr>
          <w:lang w:eastAsia="ja-JP"/>
        </w:rPr>
        <w:t>これは、本制度の趣旨が民間基盤及び国家継続性を支える領域への投資促進にあり、安全保障補完であって軍拡を目的としないことを法的にも明確にするためである。</w:t>
      </w:r>
    </w:p>
    <w:p w14:paraId="60262E1A" w14:textId="77777777" w:rsidR="00593121" w:rsidRDefault="00000000">
      <w:pPr>
        <w:pStyle w:val="BodyTight"/>
        <w:rPr>
          <w:lang w:eastAsia="ja-JP"/>
        </w:rPr>
      </w:pPr>
      <w:r>
        <w:rPr>
          <w:lang w:eastAsia="ja-JP"/>
        </w:rPr>
        <w:t>また、対象限定及び除外規定を法律上置くことにより、制度の拡張解釈を抑制し、将来的な逸脱を防ぐ効果も期待できる。</w:t>
      </w:r>
    </w:p>
    <w:p w14:paraId="33C37D01" w14:textId="77777777" w:rsidR="00593121" w:rsidRDefault="00000000">
      <w:pPr>
        <w:pStyle w:val="SubHeadJP"/>
        <w:rPr>
          <w:lang w:eastAsia="ja-JP"/>
        </w:rPr>
      </w:pPr>
      <w:r>
        <w:rPr>
          <w:lang w:eastAsia="ja-JP"/>
        </w:rPr>
        <w:t>3-5．財政規律・監査・終了規定に関する章立て</w:t>
      </w:r>
    </w:p>
    <w:p w14:paraId="6D9F55DE" w14:textId="77777777" w:rsidR="00593121" w:rsidRDefault="00000000">
      <w:pPr>
        <w:pStyle w:val="BodyTight"/>
        <w:rPr>
          <w:lang w:eastAsia="ja-JP"/>
        </w:rPr>
      </w:pPr>
      <w:r>
        <w:rPr>
          <w:lang w:eastAsia="ja-JP"/>
        </w:rPr>
        <w:t>財政規律及び統制措置に関する章では、十五年時限、五年中間評価、金利三パーセント停止条項等を位置づけることが考えられる。</w:t>
      </w:r>
    </w:p>
    <w:p w14:paraId="14AE22EE" w14:textId="77777777" w:rsidR="00593121" w:rsidRDefault="00000000">
      <w:pPr>
        <w:pStyle w:val="BodyTight"/>
        <w:rPr>
          <w:lang w:eastAsia="ja-JP"/>
        </w:rPr>
      </w:pPr>
      <w:r>
        <w:rPr>
          <w:lang w:eastAsia="ja-JP"/>
        </w:rPr>
        <w:t>監査及び報告に関する章では、会計検査院による監査及び毎年度の国会報告義務を整理し、制度運営の透明性を担保する必要がある。</w:t>
      </w:r>
    </w:p>
    <w:p w14:paraId="777ED2E8" w14:textId="77777777" w:rsidR="00593121" w:rsidRDefault="00000000">
      <w:pPr>
        <w:pStyle w:val="BodyTight"/>
        <w:rPr>
          <w:lang w:eastAsia="ja-JP"/>
        </w:rPr>
      </w:pPr>
      <w:r>
        <w:rPr>
          <w:lang w:eastAsia="ja-JP"/>
        </w:rPr>
        <w:lastRenderedPageBreak/>
        <w:t>さらに、解散及び残余財産に関する章を設け、時限到来時又は終了時における基金の扱い及び残余財産の一般会計帰属を明確にすることが望ましい。</w:t>
      </w:r>
    </w:p>
    <w:p w14:paraId="576E154D" w14:textId="77777777" w:rsidR="00593121" w:rsidRDefault="00000000">
      <w:pPr>
        <w:pStyle w:val="BodyTight"/>
        <w:rPr>
          <w:lang w:eastAsia="ja-JP"/>
        </w:rPr>
      </w:pPr>
      <w:r>
        <w:rPr>
          <w:lang w:eastAsia="ja-JP"/>
        </w:rPr>
        <w:t>このように、制度の入口のみならず出口まで法律上整理することが、本制度を一時的・例外的措置として適切に運用する前提となる。</w:t>
      </w:r>
    </w:p>
    <w:p w14:paraId="3534111A" w14:textId="77777777" w:rsidR="00593121" w:rsidRDefault="00000000">
      <w:pPr>
        <w:pStyle w:val="SectionHeadJP"/>
        <w:rPr>
          <w:lang w:eastAsia="ja-JP"/>
        </w:rPr>
      </w:pPr>
      <w:r>
        <w:rPr>
          <w:lang w:eastAsia="ja-JP"/>
        </w:rPr>
        <w:t>4．既存法令との整合</w:t>
      </w:r>
    </w:p>
    <w:p w14:paraId="2980DC07" w14:textId="77777777" w:rsidR="00593121" w:rsidRDefault="00000000">
      <w:pPr>
        <w:pStyle w:val="SubHeadJP"/>
        <w:rPr>
          <w:lang w:eastAsia="ja-JP"/>
        </w:rPr>
      </w:pPr>
      <w:r>
        <w:rPr>
          <w:lang w:eastAsia="ja-JP"/>
        </w:rPr>
        <w:t>4-1．財政法との整合</w:t>
      </w:r>
    </w:p>
    <w:p w14:paraId="4F85BA41" w14:textId="77777777" w:rsidR="00593121" w:rsidRDefault="00000000">
      <w:pPr>
        <w:pStyle w:val="BodyTight"/>
        <w:rPr>
          <w:lang w:eastAsia="ja-JP"/>
        </w:rPr>
      </w:pPr>
      <w:r>
        <w:rPr>
          <w:lang w:eastAsia="ja-JP"/>
        </w:rPr>
        <w:t>本制度を特別措置法により整理する場合であっても、その運用は財政法その他の財政規律に関する基本法理と整合するものでなければならない。</w:t>
      </w:r>
    </w:p>
    <w:p w14:paraId="584734EA" w14:textId="77777777" w:rsidR="00593121" w:rsidRDefault="00000000">
      <w:pPr>
        <w:pStyle w:val="BodyTight"/>
        <w:rPr>
          <w:lang w:eastAsia="ja-JP"/>
        </w:rPr>
      </w:pPr>
      <w:r>
        <w:rPr>
          <w:lang w:eastAsia="ja-JP"/>
        </w:rPr>
        <w:t>特に、基金への積立て及び政府出資については、国会の議決を経た予算の範囲内で行われるべきことを前提とし、財政法第四条の趣旨を損なわないよう整理する必要がある。</w:t>
      </w:r>
    </w:p>
    <w:p w14:paraId="3EC5E507" w14:textId="77777777" w:rsidR="00593121" w:rsidRDefault="00000000">
      <w:pPr>
        <w:pStyle w:val="BodyTight"/>
        <w:rPr>
          <w:lang w:eastAsia="ja-JP"/>
        </w:rPr>
      </w:pPr>
      <w:r>
        <w:rPr>
          <w:lang w:eastAsia="ja-JP"/>
        </w:rPr>
        <w:t>この点、本制度は、既に実現した収益又は一般会計において適法に位置づけられた資金を前提とし、例外的な財政運営手法を恒常化することを目的としない。</w:t>
      </w:r>
    </w:p>
    <w:p w14:paraId="48F00639" w14:textId="77777777" w:rsidR="00593121" w:rsidRDefault="00000000">
      <w:pPr>
        <w:pStyle w:val="BodyTight"/>
        <w:rPr>
          <w:lang w:eastAsia="ja-JP"/>
        </w:rPr>
      </w:pPr>
      <w:r>
        <w:rPr>
          <w:lang w:eastAsia="ja-JP"/>
        </w:rPr>
        <w:t>したがって、法令上は、本制度が一般財政秩序の例外を無限定に認めるものではなく、一定の目的及び時限の下で整理される特別措置であることを明確にする必要がある。</w:t>
      </w:r>
    </w:p>
    <w:p w14:paraId="3B2B99E4" w14:textId="77777777" w:rsidR="00593121" w:rsidRDefault="00000000">
      <w:pPr>
        <w:pStyle w:val="SubHeadJP"/>
        <w:rPr>
          <w:lang w:eastAsia="ja-JP"/>
        </w:rPr>
      </w:pPr>
      <w:r>
        <w:rPr>
          <w:lang w:eastAsia="ja-JP"/>
        </w:rPr>
        <w:t>4-2．特別会計との整合</w:t>
      </w:r>
    </w:p>
    <w:p w14:paraId="12BB89DC" w14:textId="77777777" w:rsidR="00593121" w:rsidRDefault="00000000">
      <w:pPr>
        <w:pStyle w:val="BodyTight"/>
        <w:rPr>
          <w:lang w:eastAsia="ja-JP"/>
        </w:rPr>
      </w:pPr>
      <w:r>
        <w:rPr>
          <w:lang w:eastAsia="ja-JP"/>
        </w:rPr>
        <w:t>本制度において外為特会実現収益又は満期償還分の一般会計再配分分を財源候補として位置づける場合には、特別会計に関する既存制度との整合を適切に整理しなければならない。</w:t>
      </w:r>
    </w:p>
    <w:p w14:paraId="3FA48215" w14:textId="77777777" w:rsidR="00593121" w:rsidRDefault="00000000">
      <w:pPr>
        <w:pStyle w:val="BodyTight"/>
        <w:rPr>
          <w:lang w:eastAsia="ja-JP"/>
        </w:rPr>
      </w:pPr>
      <w:r>
        <w:rPr>
          <w:lang w:eastAsia="ja-JP"/>
        </w:rPr>
        <w:t>その際、外貨準備資産の市場売却を前提とするのではなく、既に一般会計に適法に繰り入れられた資金又はこれに準ずる資金に限定して取り扱うことを明確にする必要がある。</w:t>
      </w:r>
    </w:p>
    <w:p w14:paraId="251F2C35" w14:textId="77777777" w:rsidR="00593121" w:rsidRDefault="00000000">
      <w:pPr>
        <w:pStyle w:val="BodyTight"/>
        <w:rPr>
          <w:lang w:eastAsia="ja-JP"/>
        </w:rPr>
      </w:pPr>
      <w:r>
        <w:rPr>
          <w:lang w:eastAsia="ja-JP"/>
        </w:rPr>
        <w:t>この整理を欠く場合、本制度が特別会計の資産運用又は財源移転の恣意的枠組みであるとの誤解を招くおそれがあるため、財源の位置づけ及び流れについては、法律上又は少なくとも制度設計上、明確な説明可能性を確保することが重要である。</w:t>
      </w:r>
    </w:p>
    <w:p w14:paraId="37EFB928" w14:textId="77777777" w:rsidR="00593121" w:rsidRDefault="00000000">
      <w:pPr>
        <w:pStyle w:val="SubHeadJP"/>
        <w:rPr>
          <w:lang w:eastAsia="ja-JP"/>
        </w:rPr>
      </w:pPr>
      <w:r>
        <w:rPr>
          <w:lang w:eastAsia="ja-JP"/>
        </w:rPr>
        <w:t>4-3．会計検査院法及び国会統制との整合</w:t>
      </w:r>
    </w:p>
    <w:p w14:paraId="029F0D73" w14:textId="77777777" w:rsidR="00593121" w:rsidRDefault="00000000">
      <w:pPr>
        <w:pStyle w:val="BodyTight"/>
        <w:rPr>
          <w:lang w:eastAsia="ja-JP"/>
        </w:rPr>
      </w:pPr>
      <w:r>
        <w:rPr>
          <w:lang w:eastAsia="ja-JP"/>
        </w:rPr>
        <w:t>基金型制度を採る以上、その運営は一般会計上の予算統制から完全に切り離されるものではなく、会計検査及び国会統制との接続を明確にしておく必要がある。</w:t>
      </w:r>
    </w:p>
    <w:p w14:paraId="2AD3A70E" w14:textId="77777777" w:rsidR="00593121" w:rsidRDefault="00000000">
      <w:pPr>
        <w:pStyle w:val="BodyTight"/>
        <w:rPr>
          <w:lang w:eastAsia="ja-JP"/>
        </w:rPr>
      </w:pPr>
      <w:r>
        <w:rPr>
          <w:lang w:eastAsia="ja-JP"/>
        </w:rPr>
        <w:t>そのため、本制度においては、会計検査院による監査対象となること、及び毎年度の国会報告義務を課すことを法律上明記することが相当である。</w:t>
      </w:r>
    </w:p>
    <w:p w14:paraId="14BC995C" w14:textId="77777777" w:rsidR="00593121" w:rsidRDefault="00000000">
      <w:pPr>
        <w:pStyle w:val="BodyTight"/>
        <w:rPr>
          <w:lang w:eastAsia="ja-JP"/>
        </w:rPr>
      </w:pPr>
      <w:r>
        <w:rPr>
          <w:lang w:eastAsia="ja-JP"/>
        </w:rPr>
        <w:lastRenderedPageBreak/>
        <w:t>特に、基金の積立て、支出、投資実行及び回収の全体像が外部から検証可能であることは、本制度の公共性及び透明性を担保する上で不可欠である。</w:t>
      </w:r>
    </w:p>
    <w:p w14:paraId="22541DAA" w14:textId="77777777" w:rsidR="00593121" w:rsidRDefault="00000000">
      <w:pPr>
        <w:pStyle w:val="BodyTight"/>
        <w:rPr>
          <w:lang w:eastAsia="ja-JP"/>
        </w:rPr>
      </w:pPr>
      <w:r>
        <w:rPr>
          <w:lang w:eastAsia="ja-JP"/>
        </w:rPr>
        <w:t>したがって、会計検査院法及び国会統制との整合は、単なる形式的要件ではなく、本制度に対する信認を維持するための中核的条件として位置づけるべきである。</w:t>
      </w:r>
    </w:p>
    <w:p w14:paraId="1002C1ED" w14:textId="77777777" w:rsidR="00593121" w:rsidRDefault="00000000">
      <w:pPr>
        <w:pStyle w:val="SubHeadJP"/>
        <w:rPr>
          <w:lang w:eastAsia="ja-JP"/>
        </w:rPr>
      </w:pPr>
      <w:r>
        <w:rPr>
          <w:lang w:eastAsia="ja-JP"/>
        </w:rPr>
        <w:t>4-4．関係法令横断整理の必要性</w:t>
      </w:r>
    </w:p>
    <w:p w14:paraId="54D6594B" w14:textId="77777777" w:rsidR="00593121" w:rsidRDefault="00000000">
      <w:pPr>
        <w:pStyle w:val="BodyTight"/>
        <w:rPr>
          <w:lang w:eastAsia="ja-JP"/>
        </w:rPr>
      </w:pPr>
      <w:r>
        <w:rPr>
          <w:lang w:eastAsia="ja-JP"/>
        </w:rPr>
        <w:t>本制度の実施に当たっては、財政法、特別会計関連法令、会計検査関連法令のほか、必要に応じて行政組織、契約、情報管理、安全保障関連法制等との接続も検討対象となる。</w:t>
      </w:r>
    </w:p>
    <w:p w14:paraId="3E2C74ED" w14:textId="77777777" w:rsidR="00593121" w:rsidRDefault="00000000">
      <w:pPr>
        <w:pStyle w:val="BodyTight"/>
        <w:rPr>
          <w:lang w:eastAsia="ja-JP"/>
        </w:rPr>
      </w:pPr>
      <w:r>
        <w:rPr>
          <w:lang w:eastAsia="ja-JP"/>
        </w:rPr>
        <w:t>もっとも、本制度の全体趣旨は、既存法令を全面的に変更することではなく、既存法体系との整合を図りつつ、北日本地域における重要基盤整備を推進するための限定的かつ時限的な特別措置を設けることにある。</w:t>
      </w:r>
    </w:p>
    <w:p w14:paraId="4A8E8A67" w14:textId="77777777" w:rsidR="00593121" w:rsidRDefault="00000000">
      <w:pPr>
        <w:pStyle w:val="BodyTight"/>
        <w:rPr>
          <w:lang w:eastAsia="ja-JP"/>
        </w:rPr>
      </w:pPr>
      <w:r>
        <w:rPr>
          <w:lang w:eastAsia="ja-JP"/>
        </w:rPr>
        <w:t>このため、制度化に当たっては、どの事項を本法に明記し、どの事項を既存法令の枠内で処理し、どの事項を政令等に委ねるかを整理することが、法技術上の最重要課題の一つとなる。</w:t>
      </w:r>
    </w:p>
    <w:p w14:paraId="5960773F" w14:textId="77777777" w:rsidR="00593121" w:rsidRDefault="00000000">
      <w:pPr>
        <w:pStyle w:val="SectionHeadJP"/>
        <w:rPr>
          <w:lang w:eastAsia="ja-JP"/>
        </w:rPr>
      </w:pPr>
      <w:r>
        <w:rPr>
          <w:lang w:eastAsia="ja-JP"/>
        </w:rPr>
        <w:t>5．対象限定及び除外規定</w:t>
      </w:r>
    </w:p>
    <w:p w14:paraId="64CB7FF4" w14:textId="77777777" w:rsidR="00593121" w:rsidRDefault="00000000">
      <w:pPr>
        <w:pStyle w:val="SubHeadJP"/>
        <w:rPr>
          <w:lang w:eastAsia="ja-JP"/>
        </w:rPr>
      </w:pPr>
      <w:r>
        <w:rPr>
          <w:lang w:eastAsia="ja-JP"/>
        </w:rPr>
        <w:t>5-1．対象限定の必要性</w:t>
      </w:r>
    </w:p>
    <w:p w14:paraId="6DF8AC33" w14:textId="77777777" w:rsidR="00593121" w:rsidRDefault="00000000">
      <w:pPr>
        <w:pStyle w:val="BodyTight"/>
        <w:rPr>
          <w:lang w:eastAsia="ja-JP"/>
        </w:rPr>
      </w:pPr>
      <w:r>
        <w:rPr>
          <w:lang w:eastAsia="ja-JP"/>
        </w:rPr>
        <w:t>本制度においては、投資対象を一定の類型に限定することが不可欠である。</w:t>
      </w:r>
    </w:p>
    <w:p w14:paraId="77F30454" w14:textId="77777777" w:rsidR="00593121" w:rsidRDefault="00000000">
      <w:pPr>
        <w:pStyle w:val="BodyTight"/>
        <w:rPr>
          <w:lang w:eastAsia="ja-JP"/>
        </w:rPr>
      </w:pPr>
      <w:r>
        <w:rPr>
          <w:lang w:eastAsia="ja-JP"/>
        </w:rPr>
        <w:t>その理由は、本制度が北日本地域における重要基盤整備を目的とする限定的かつ時限的な特別措置であり、一般的又は包括的な投資制度として拡張されることを予定していないためである。</w:t>
      </w:r>
    </w:p>
    <w:p w14:paraId="40FA089F" w14:textId="77777777" w:rsidR="00593121" w:rsidRDefault="00000000">
      <w:pPr>
        <w:pStyle w:val="BodyTight"/>
        <w:rPr>
          <w:lang w:eastAsia="ja-JP"/>
        </w:rPr>
      </w:pPr>
      <w:r>
        <w:rPr>
          <w:lang w:eastAsia="ja-JP"/>
        </w:rPr>
        <w:t>したがって、法律上、少なくとも対象事業の基本類型を明示し、エネルギー基盤、半導体後工程及び関連産業基盤、港湾・空港及び物流基盤、計算資本及びデータ基盤その他これらに準ずる重要基盤整備に限定する整理が必要となる。</w:t>
      </w:r>
    </w:p>
    <w:p w14:paraId="53298A36" w14:textId="77777777" w:rsidR="00593121" w:rsidRDefault="00000000">
      <w:pPr>
        <w:pStyle w:val="BodyTight"/>
        <w:rPr>
          <w:lang w:eastAsia="ja-JP"/>
        </w:rPr>
      </w:pPr>
      <w:r>
        <w:rPr>
          <w:lang w:eastAsia="ja-JP"/>
        </w:rPr>
        <w:t>このような対象限定を置くことにより、制度の趣旨、範囲及び政策的重心が明確となり、将来的な拡張解釈又は目的外利用を抑制することが可能となる。</w:t>
      </w:r>
    </w:p>
    <w:p w14:paraId="7BA81A45" w14:textId="77777777" w:rsidR="00593121" w:rsidRDefault="00000000">
      <w:pPr>
        <w:pStyle w:val="SubHeadJP"/>
        <w:rPr>
          <w:lang w:eastAsia="ja-JP"/>
        </w:rPr>
      </w:pPr>
      <w:r>
        <w:rPr>
          <w:lang w:eastAsia="ja-JP"/>
        </w:rPr>
        <w:t>5-2．除外規定の必要性</w:t>
      </w:r>
    </w:p>
    <w:p w14:paraId="7B04D567" w14:textId="77777777" w:rsidR="00593121" w:rsidRDefault="00000000">
      <w:pPr>
        <w:pStyle w:val="BodyTight"/>
        <w:rPr>
          <w:lang w:eastAsia="ja-JP"/>
        </w:rPr>
      </w:pPr>
      <w:r>
        <w:rPr>
          <w:lang w:eastAsia="ja-JP"/>
        </w:rPr>
        <w:t>対象限定と同様に、本制度においては何を対象外とするかを明確に定める必要がある。</w:t>
      </w:r>
    </w:p>
    <w:p w14:paraId="037BD8DE" w14:textId="77777777" w:rsidR="00593121" w:rsidRDefault="00000000">
      <w:pPr>
        <w:pStyle w:val="BodyTight"/>
        <w:rPr>
          <w:lang w:eastAsia="ja-JP"/>
        </w:rPr>
      </w:pPr>
      <w:r>
        <w:rPr>
          <w:lang w:eastAsia="ja-JP"/>
        </w:rPr>
        <w:t>特に、防衛装備取得又は軍事目的投資については、本制度の趣旨が民間基盤整備及び国家継続性を支える重要基盤への投資にあることを踏まえ、明文で除外することが適当である。</w:t>
      </w:r>
    </w:p>
    <w:p w14:paraId="413B6748" w14:textId="77777777" w:rsidR="00593121" w:rsidRDefault="00000000">
      <w:pPr>
        <w:pStyle w:val="BodyTight"/>
        <w:rPr>
          <w:lang w:eastAsia="ja-JP"/>
        </w:rPr>
      </w:pPr>
      <w:r>
        <w:rPr>
          <w:lang w:eastAsia="ja-JP"/>
        </w:rPr>
        <w:lastRenderedPageBreak/>
        <w:t>この除外規定は、制度の対外説明可能性を高めるのみならず、本制度が軍拡を目的とするものではなく、民間インフラ、エネルギー、物流及び計算基盤を通じて安全保障を補完する枠組みであることを法的に明確化する機能を有する。</w:t>
      </w:r>
    </w:p>
    <w:p w14:paraId="1EF61C8F" w14:textId="77777777" w:rsidR="00593121" w:rsidRDefault="00000000">
      <w:pPr>
        <w:pStyle w:val="BodyTight"/>
        <w:rPr>
          <w:lang w:eastAsia="ja-JP"/>
        </w:rPr>
      </w:pPr>
      <w:r>
        <w:rPr>
          <w:lang w:eastAsia="ja-JP"/>
        </w:rPr>
        <w:t>また、対象外規定を法律上置くことにより、制度運用において趣旨逸脱の懸念が生じた場合にも、法的に一定の歯止めを働かせることが可能となる。</w:t>
      </w:r>
    </w:p>
    <w:p w14:paraId="62B266E6" w14:textId="77777777" w:rsidR="00593121" w:rsidRDefault="00000000">
      <w:pPr>
        <w:pStyle w:val="SubHeadJP"/>
        <w:rPr>
          <w:lang w:eastAsia="ja-JP"/>
        </w:rPr>
      </w:pPr>
      <w:r>
        <w:rPr>
          <w:lang w:eastAsia="ja-JP"/>
        </w:rPr>
        <w:t>5-3．法技術上の明確化</w:t>
      </w:r>
    </w:p>
    <w:p w14:paraId="7122744C" w14:textId="77777777" w:rsidR="00593121" w:rsidRDefault="00000000">
      <w:pPr>
        <w:pStyle w:val="BodyTight"/>
        <w:rPr>
          <w:lang w:eastAsia="ja-JP"/>
        </w:rPr>
      </w:pPr>
      <w:r>
        <w:rPr>
          <w:lang w:eastAsia="ja-JP"/>
        </w:rPr>
        <w:t>対象限定及び除外規定を法技術上適切に機能させるためには、抽象的な理念規定のみにとどめず、一定の具体性をもって類型又は範囲を示す必要がある。</w:t>
      </w:r>
    </w:p>
    <w:p w14:paraId="51D47348" w14:textId="77777777" w:rsidR="00593121" w:rsidRDefault="00000000">
      <w:pPr>
        <w:pStyle w:val="BodyTight"/>
        <w:rPr>
          <w:lang w:eastAsia="ja-JP"/>
        </w:rPr>
      </w:pPr>
      <w:r>
        <w:rPr>
          <w:lang w:eastAsia="ja-JP"/>
        </w:rPr>
        <w:t>もっとも、対象事業の類型を過度に詳細化すると、制度運用上の柔軟性を失い、技術進展又は事業形態の変化に対応しにくくなるおそれがある。</w:t>
      </w:r>
    </w:p>
    <w:p w14:paraId="5E576BBE" w14:textId="77777777" w:rsidR="00593121" w:rsidRDefault="00000000">
      <w:pPr>
        <w:pStyle w:val="BodyTight"/>
        <w:rPr>
          <w:lang w:eastAsia="ja-JP"/>
        </w:rPr>
      </w:pPr>
      <w:r>
        <w:rPr>
          <w:lang w:eastAsia="ja-JP"/>
        </w:rPr>
        <w:t>このため、法律上は基本類型及び本質的除外規定を明示し、細目的な事業類型、区域及び選定基準等については、政令又は下位規範に委ねる構成が合理的である。</w:t>
      </w:r>
    </w:p>
    <w:p w14:paraId="5ACD4904" w14:textId="77777777" w:rsidR="00593121" w:rsidRDefault="00000000">
      <w:pPr>
        <w:pStyle w:val="BodyTight"/>
        <w:rPr>
          <w:lang w:eastAsia="ja-JP"/>
        </w:rPr>
      </w:pPr>
      <w:r>
        <w:rPr>
          <w:lang w:eastAsia="ja-JP"/>
        </w:rPr>
        <w:t>その際、法律事項として置くべき範囲と委任し得る範囲を適切に切り分けることが、法制局審査上も重要な論点となる。</w:t>
      </w:r>
    </w:p>
    <w:p w14:paraId="1076F500" w14:textId="77777777" w:rsidR="00593121" w:rsidRDefault="00000000">
      <w:pPr>
        <w:pStyle w:val="SubHeadJP"/>
        <w:rPr>
          <w:lang w:eastAsia="ja-JP"/>
        </w:rPr>
      </w:pPr>
      <w:r>
        <w:rPr>
          <w:lang w:eastAsia="ja-JP"/>
        </w:rPr>
        <w:t>5-4．制度趣旨との接続</w:t>
      </w:r>
    </w:p>
    <w:p w14:paraId="3EA1AC9C" w14:textId="77777777" w:rsidR="00593121" w:rsidRDefault="00000000">
      <w:pPr>
        <w:pStyle w:val="BodyTight"/>
        <w:rPr>
          <w:lang w:eastAsia="ja-JP"/>
        </w:rPr>
      </w:pPr>
      <w:r>
        <w:rPr>
          <w:lang w:eastAsia="ja-JP"/>
        </w:rPr>
        <w:t>対象限定及び除外規定は、単に投資範囲を画するための技術的条項ではなく、本制度の政策目的及び法的性格を具体化する中核的条項である。</w:t>
      </w:r>
    </w:p>
    <w:p w14:paraId="5B67AB92" w14:textId="77777777" w:rsidR="00593121" w:rsidRDefault="00000000">
      <w:pPr>
        <w:pStyle w:val="BodyTight"/>
        <w:rPr>
          <w:lang w:eastAsia="ja-JP"/>
        </w:rPr>
      </w:pPr>
      <w:r>
        <w:rPr>
          <w:lang w:eastAsia="ja-JP"/>
        </w:rPr>
        <w:t>すなわち、対象限定は、本制度が国家継続性及び経済安全保障に資する重要基盤整備に重点を置く制度であることを示し、除外規定は、その制度趣旨が軍事的拡張又は一般的投資制度化に向かうことを抑制する役割を果たす。</w:t>
      </w:r>
    </w:p>
    <w:p w14:paraId="332DE425" w14:textId="77777777" w:rsidR="00593121" w:rsidRDefault="00000000">
      <w:pPr>
        <w:pStyle w:val="BodyTight"/>
        <w:rPr>
          <w:lang w:eastAsia="ja-JP"/>
        </w:rPr>
      </w:pPr>
      <w:r>
        <w:rPr>
          <w:lang w:eastAsia="ja-JP"/>
        </w:rPr>
        <w:t>したがって、制度設計においては、目的規定、対象限定、除外規定及び統制措置を相互に整合する形で整理し、本制度の範囲と限界が一貫した構造として理解されるようにする必要がある。</w:t>
      </w:r>
    </w:p>
    <w:p w14:paraId="02962CB2" w14:textId="77777777" w:rsidR="00593121" w:rsidRDefault="00000000">
      <w:pPr>
        <w:pStyle w:val="SectionHeadJP"/>
        <w:rPr>
          <w:lang w:eastAsia="ja-JP"/>
        </w:rPr>
      </w:pPr>
      <w:r>
        <w:rPr>
          <w:lang w:eastAsia="ja-JP"/>
        </w:rPr>
        <w:t>6．政府の地位と関与制限</w:t>
      </w:r>
    </w:p>
    <w:p w14:paraId="563D668E" w14:textId="77777777" w:rsidR="00593121" w:rsidRDefault="00000000">
      <w:pPr>
        <w:pStyle w:val="SubHeadJP"/>
        <w:rPr>
          <w:lang w:eastAsia="ja-JP"/>
        </w:rPr>
      </w:pPr>
      <w:r>
        <w:rPr>
          <w:lang w:eastAsia="ja-JP"/>
        </w:rPr>
        <w:t>6-1．政府の法的位置づけ</w:t>
      </w:r>
    </w:p>
    <w:p w14:paraId="0C9430C8" w14:textId="77777777" w:rsidR="00593121" w:rsidRDefault="00000000">
      <w:pPr>
        <w:pStyle w:val="BodyTight"/>
        <w:rPr>
          <w:lang w:eastAsia="ja-JP"/>
        </w:rPr>
      </w:pPr>
      <w:r>
        <w:rPr>
          <w:lang w:eastAsia="ja-JP"/>
        </w:rPr>
        <w:t>本制度において、政府は、基金に対する出資者としての地位を有するものとし、その法的位置づけは有限責任出資者として整理することが基本となる。</w:t>
      </w:r>
    </w:p>
    <w:p w14:paraId="2C200EF2" w14:textId="77777777" w:rsidR="00593121" w:rsidRDefault="00000000">
      <w:pPr>
        <w:pStyle w:val="BodyTight"/>
        <w:rPr>
          <w:lang w:eastAsia="ja-JP"/>
        </w:rPr>
      </w:pPr>
      <w:r>
        <w:rPr>
          <w:lang w:eastAsia="ja-JP"/>
        </w:rPr>
        <w:lastRenderedPageBreak/>
        <w:t>この整理を採る趣旨は、政府が制度全体の公共性及び制度的枠組みを担保しつつ、個別投資案件の選定及び執行そのものを直接行う主体とはならないことを制度上明確にする点にある。</w:t>
      </w:r>
    </w:p>
    <w:p w14:paraId="64EA2CC8" w14:textId="77777777" w:rsidR="00593121" w:rsidRDefault="00000000">
      <w:pPr>
        <w:pStyle w:val="BodyTight"/>
        <w:rPr>
          <w:lang w:eastAsia="ja-JP"/>
        </w:rPr>
      </w:pPr>
      <w:r>
        <w:rPr>
          <w:lang w:eastAsia="ja-JP"/>
        </w:rPr>
        <w:t>すなわち、本制度は、政府の全面的事業執行によるのではなく、一定の統制措置の下で民間の運用能力を活用し、重要基盤整備を推進する構造を前提とするものである。</w:t>
      </w:r>
    </w:p>
    <w:p w14:paraId="06C4F0D1" w14:textId="77777777" w:rsidR="00593121" w:rsidRDefault="00000000">
      <w:pPr>
        <w:pStyle w:val="SubHeadJP"/>
        <w:rPr>
          <w:lang w:eastAsia="ja-JP"/>
        </w:rPr>
      </w:pPr>
      <w:r>
        <w:rPr>
          <w:lang w:eastAsia="ja-JP"/>
        </w:rPr>
        <w:t>6-2．個別案件への直接関与制限</w:t>
      </w:r>
    </w:p>
    <w:p w14:paraId="4C573494" w14:textId="77777777" w:rsidR="00593121" w:rsidRDefault="00000000">
      <w:pPr>
        <w:pStyle w:val="BodyTight"/>
        <w:rPr>
          <w:lang w:eastAsia="ja-JP"/>
        </w:rPr>
      </w:pPr>
      <w:r>
        <w:rPr>
          <w:lang w:eastAsia="ja-JP"/>
        </w:rPr>
        <w:t>本制度の運用に当たっては、政府が個別投資案件の決定、採否又は条件設定に直接関与しないことを原則として明記する必要がある。</w:t>
      </w:r>
    </w:p>
    <w:p w14:paraId="4888E383" w14:textId="77777777" w:rsidR="00593121" w:rsidRDefault="00000000">
      <w:pPr>
        <w:pStyle w:val="BodyTight"/>
        <w:rPr>
          <w:lang w:eastAsia="ja-JP"/>
        </w:rPr>
      </w:pPr>
      <w:r>
        <w:rPr>
          <w:lang w:eastAsia="ja-JP"/>
        </w:rPr>
        <w:t>これは、政治的判断又は恣意的介入による案件選定への懸念を抑制し、運用責任の所在を明確化するためである。</w:t>
      </w:r>
    </w:p>
    <w:p w14:paraId="468CF8F3" w14:textId="77777777" w:rsidR="00593121" w:rsidRDefault="00000000">
      <w:pPr>
        <w:pStyle w:val="BodyTight"/>
        <w:rPr>
          <w:lang w:eastAsia="ja-JP"/>
        </w:rPr>
      </w:pPr>
      <w:r>
        <w:rPr>
          <w:lang w:eastAsia="ja-JP"/>
        </w:rPr>
        <w:t>また、民間運用主体による投資判断を制度上尊重することにより、本制度が財政支出の変形又は政策誘導的投資の便法として理解されることを避ける意味も有する。</w:t>
      </w:r>
    </w:p>
    <w:p w14:paraId="29374C62" w14:textId="77777777" w:rsidR="00593121" w:rsidRDefault="00000000">
      <w:pPr>
        <w:pStyle w:val="BodyTight"/>
        <w:rPr>
          <w:lang w:eastAsia="ja-JP"/>
        </w:rPr>
      </w:pPr>
      <w:r>
        <w:rPr>
          <w:lang w:eastAsia="ja-JP"/>
        </w:rPr>
        <w:t>そのため、法律上は、政府の直接関与を制限する趣旨を明確にしつつ、運用主体の独立性及び責任を制度構造として担保する必要がある。</w:t>
      </w:r>
    </w:p>
    <w:p w14:paraId="497A17BA" w14:textId="77777777" w:rsidR="00593121" w:rsidRDefault="00000000">
      <w:pPr>
        <w:pStyle w:val="SubHeadJP"/>
        <w:rPr>
          <w:lang w:eastAsia="ja-JP"/>
        </w:rPr>
      </w:pPr>
      <w:r>
        <w:rPr>
          <w:lang w:eastAsia="ja-JP"/>
        </w:rPr>
        <w:t>6-3．監督権限との区別</w:t>
      </w:r>
    </w:p>
    <w:p w14:paraId="6BED2963" w14:textId="77777777" w:rsidR="00593121" w:rsidRDefault="00000000">
      <w:pPr>
        <w:pStyle w:val="BodyTight"/>
        <w:rPr>
          <w:lang w:eastAsia="ja-JP"/>
        </w:rPr>
      </w:pPr>
      <w:r>
        <w:rPr>
          <w:lang w:eastAsia="ja-JP"/>
        </w:rPr>
        <w:t>もっとも、政府の直接関与を制限することは、政府が制度目的の逸脱、対象外規定違反又は重大な統制違反に対して何らの関与も行えないことを意味するものではない。</w:t>
      </w:r>
    </w:p>
    <w:p w14:paraId="0459AD9C" w14:textId="77777777" w:rsidR="00593121" w:rsidRDefault="00000000">
      <w:pPr>
        <w:pStyle w:val="BodyTight"/>
        <w:rPr>
          <w:lang w:eastAsia="ja-JP"/>
        </w:rPr>
      </w:pPr>
      <w:r>
        <w:rPr>
          <w:lang w:eastAsia="ja-JP"/>
        </w:rPr>
        <w:t>本制度の公共性に鑑みれば、政府は、制度目的の適合性、統制措置の遵守及び透明性確保の観点から、一定の監督権限を有し得るものと整理することが相当である。</w:t>
      </w:r>
    </w:p>
    <w:p w14:paraId="7F65E9D9" w14:textId="77777777" w:rsidR="00593121" w:rsidRDefault="00000000">
      <w:pPr>
        <w:pStyle w:val="BodyTight"/>
        <w:rPr>
          <w:lang w:eastAsia="ja-JP"/>
        </w:rPr>
      </w:pPr>
      <w:r>
        <w:rPr>
          <w:lang w:eastAsia="ja-JP"/>
        </w:rPr>
        <w:t>したがって、法技術上は、「個別案件への直接関与の禁止」と「制度目的及び統制措置に基づく監督」とを明確に区別して定める必要がある。</w:t>
      </w:r>
    </w:p>
    <w:p w14:paraId="03C9222C" w14:textId="77777777" w:rsidR="00593121" w:rsidRDefault="00000000">
      <w:pPr>
        <w:pStyle w:val="BodyTight"/>
        <w:rPr>
          <w:lang w:eastAsia="ja-JP"/>
        </w:rPr>
      </w:pPr>
      <w:r>
        <w:rPr>
          <w:lang w:eastAsia="ja-JP"/>
        </w:rPr>
        <w:t>この区別を曖昧にすると、政府関与制限規定が形式化する一方で、必要な制度統制が機能しないおそれがある。</w:t>
      </w:r>
    </w:p>
    <w:p w14:paraId="56309AAB" w14:textId="77777777" w:rsidR="00593121" w:rsidRDefault="00000000">
      <w:pPr>
        <w:pStyle w:val="SubHeadJP"/>
        <w:rPr>
          <w:lang w:eastAsia="ja-JP"/>
        </w:rPr>
      </w:pPr>
      <w:r>
        <w:rPr>
          <w:lang w:eastAsia="ja-JP"/>
        </w:rPr>
        <w:t>6-4．制度運営上の意義</w:t>
      </w:r>
    </w:p>
    <w:p w14:paraId="21AA842A" w14:textId="77777777" w:rsidR="00593121" w:rsidRDefault="00000000">
      <w:pPr>
        <w:pStyle w:val="BodyTight"/>
        <w:rPr>
          <w:lang w:eastAsia="ja-JP"/>
        </w:rPr>
      </w:pPr>
      <w:r>
        <w:rPr>
          <w:lang w:eastAsia="ja-JP"/>
        </w:rPr>
        <w:t>政府の地位及び関与制限を明確化することは、本制度に対する信認を確保する上で重要である。</w:t>
      </w:r>
    </w:p>
    <w:p w14:paraId="259D0445" w14:textId="77777777" w:rsidR="00593121" w:rsidRDefault="00000000">
      <w:pPr>
        <w:pStyle w:val="BodyTight"/>
        <w:rPr>
          <w:lang w:eastAsia="ja-JP"/>
        </w:rPr>
      </w:pPr>
      <w:r>
        <w:rPr>
          <w:lang w:eastAsia="ja-JP"/>
        </w:rPr>
        <w:t>すなわち、政府が制度の設計及び公共性を担いながらも、個別投資案件には直接介入しないという整理を採ることにより、本制度は、政治的裁量に左右されにくい中長期投資枠組みとしての性格を明確にすることができる。</w:t>
      </w:r>
    </w:p>
    <w:p w14:paraId="13B989B6" w14:textId="77777777" w:rsidR="00593121" w:rsidRDefault="00000000">
      <w:pPr>
        <w:pStyle w:val="BodyTight"/>
        <w:rPr>
          <w:lang w:eastAsia="ja-JP"/>
        </w:rPr>
      </w:pPr>
      <w:r>
        <w:rPr>
          <w:lang w:eastAsia="ja-JP"/>
        </w:rPr>
        <w:lastRenderedPageBreak/>
        <w:t>また、この整理は、民間等出資を呼び込む観点からも意義を有し、制度運営の予見可能性及び透明性を高めることにつながる。</w:t>
      </w:r>
    </w:p>
    <w:p w14:paraId="4FE4B8E6" w14:textId="77777777" w:rsidR="00593121" w:rsidRDefault="00000000">
      <w:pPr>
        <w:pStyle w:val="BodyTight"/>
        <w:rPr>
          <w:lang w:eastAsia="ja-JP"/>
        </w:rPr>
      </w:pPr>
      <w:r>
        <w:rPr>
          <w:lang w:eastAsia="ja-JP"/>
        </w:rPr>
        <w:t>このため、政府の法的位置づけ、関与制限及び監督権限の範囲については、本制度の中核論点の一つとして、法律上明確にしておく必要がある。</w:t>
      </w:r>
    </w:p>
    <w:p w14:paraId="149628B9" w14:textId="77777777" w:rsidR="00593121" w:rsidRDefault="00000000">
      <w:pPr>
        <w:pStyle w:val="SectionHeadJP"/>
        <w:rPr>
          <w:lang w:eastAsia="ja-JP"/>
        </w:rPr>
      </w:pPr>
      <w:r>
        <w:rPr>
          <w:lang w:eastAsia="ja-JP"/>
        </w:rPr>
        <w:t>7．財政規律と統制装置</w:t>
      </w:r>
    </w:p>
    <w:p w14:paraId="5FA4FA87" w14:textId="77777777" w:rsidR="00593121" w:rsidRDefault="00000000">
      <w:pPr>
        <w:pStyle w:val="SubHeadJP"/>
        <w:rPr>
          <w:lang w:eastAsia="ja-JP"/>
        </w:rPr>
      </w:pPr>
      <w:r>
        <w:rPr>
          <w:lang w:eastAsia="ja-JP"/>
        </w:rPr>
        <w:t>7-1．財政規律を制度内部に組み込む必要性</w:t>
      </w:r>
    </w:p>
    <w:p w14:paraId="572BE528" w14:textId="77777777" w:rsidR="00593121" w:rsidRDefault="00000000">
      <w:pPr>
        <w:pStyle w:val="BodyTight"/>
        <w:rPr>
          <w:lang w:eastAsia="ja-JP"/>
        </w:rPr>
      </w:pPr>
      <w:r>
        <w:rPr>
          <w:lang w:eastAsia="ja-JP"/>
        </w:rPr>
        <w:t>本制度は、国家基盤整備を中長期的に支える投資枠組みである一方、公的資金、特別会計由来財源及び政府出資を伴うため、財政規律を制度内部に明示的に組み込むことが不可欠である。</w:t>
      </w:r>
    </w:p>
    <w:p w14:paraId="4A0320BF" w14:textId="77777777" w:rsidR="00593121" w:rsidRDefault="00000000">
      <w:pPr>
        <w:pStyle w:val="BodyTight"/>
        <w:rPr>
          <w:lang w:eastAsia="ja-JP"/>
        </w:rPr>
      </w:pPr>
      <w:r>
        <w:rPr>
          <w:lang w:eastAsia="ja-JP"/>
        </w:rPr>
        <w:t>単に政策目的の正当性を掲げるのみでは足りず、制度の開始から終了に至るまで、どのような条件の下で拡張し、どのような条件の下で抑制又は終了するかを、法律上又は制度上明確にする必要がある。</w:t>
      </w:r>
    </w:p>
    <w:p w14:paraId="750C2AD5" w14:textId="77777777" w:rsidR="00593121" w:rsidRDefault="00000000">
      <w:pPr>
        <w:pStyle w:val="BodyTight"/>
        <w:rPr>
          <w:lang w:eastAsia="ja-JP"/>
        </w:rPr>
      </w:pPr>
      <w:r>
        <w:rPr>
          <w:lang w:eastAsia="ja-JP"/>
        </w:rPr>
        <w:t>この点、財政規律は制度外部から加えられる抽象的制約ではなく、本制度の正統性及び継続可能性を担保する中核的構成要素として位置づけるべきである。</w:t>
      </w:r>
    </w:p>
    <w:p w14:paraId="6ED41959" w14:textId="77777777" w:rsidR="00593121" w:rsidRDefault="00000000">
      <w:pPr>
        <w:pStyle w:val="SubHeadJP"/>
        <w:rPr>
          <w:lang w:eastAsia="ja-JP"/>
        </w:rPr>
      </w:pPr>
      <w:r>
        <w:rPr>
          <w:lang w:eastAsia="ja-JP"/>
        </w:rPr>
        <w:t>7-2．時限措置の法技術上の意義</w:t>
      </w:r>
    </w:p>
    <w:p w14:paraId="59DD61CB" w14:textId="77777777" w:rsidR="00593121" w:rsidRDefault="00000000">
      <w:pPr>
        <w:pStyle w:val="BodyTight"/>
        <w:rPr>
          <w:lang w:eastAsia="ja-JP"/>
        </w:rPr>
      </w:pPr>
      <w:r>
        <w:rPr>
          <w:lang w:eastAsia="ja-JP"/>
        </w:rPr>
        <w:t>本制度を十五年時限とすることには、法技術上及び政策上の双方に合理性がある。</w:t>
      </w:r>
    </w:p>
    <w:p w14:paraId="1CFD8955" w14:textId="77777777" w:rsidR="00593121" w:rsidRDefault="00000000">
      <w:pPr>
        <w:pStyle w:val="BodyTight"/>
        <w:rPr>
          <w:lang w:eastAsia="ja-JP"/>
        </w:rPr>
      </w:pPr>
      <w:r>
        <w:rPr>
          <w:lang w:eastAsia="ja-JP"/>
        </w:rPr>
        <w:t>法技術上は、特別措置法が例外的・限定的制度であることを明確化し、制度の恒久化に対する懸念を抑制する効果を有する。</w:t>
      </w:r>
    </w:p>
    <w:p w14:paraId="458A3A86" w14:textId="77777777" w:rsidR="00593121" w:rsidRDefault="00000000">
      <w:pPr>
        <w:pStyle w:val="BodyTight"/>
        <w:rPr>
          <w:lang w:eastAsia="ja-JP"/>
        </w:rPr>
      </w:pPr>
      <w:r>
        <w:rPr>
          <w:lang w:eastAsia="ja-JP"/>
        </w:rPr>
        <w:t>政策上は、北日本地域における重要基盤整備を一定期間集中的に推進しつつ、その成果、費用対効果及び環境変化を踏まえて制度の終了又は見直しを可能とする点に意義がある。</w:t>
      </w:r>
    </w:p>
    <w:p w14:paraId="62F40CCE" w14:textId="77777777" w:rsidR="00593121" w:rsidRDefault="00000000">
      <w:pPr>
        <w:pStyle w:val="BodyTight"/>
        <w:rPr>
          <w:lang w:eastAsia="ja-JP"/>
        </w:rPr>
      </w:pPr>
      <w:r>
        <w:rPr>
          <w:lang w:eastAsia="ja-JP"/>
        </w:rPr>
        <w:t>したがって、時限措置は、本制度の外形的制約にとどまらず、その限定性を象徴する基本条項として位置づけるべきである。</w:t>
      </w:r>
    </w:p>
    <w:p w14:paraId="479C2AC7" w14:textId="77777777" w:rsidR="00593121" w:rsidRDefault="00000000">
      <w:pPr>
        <w:pStyle w:val="SubHeadJP"/>
        <w:rPr>
          <w:lang w:eastAsia="ja-JP"/>
        </w:rPr>
      </w:pPr>
      <w:r>
        <w:rPr>
          <w:lang w:eastAsia="ja-JP"/>
        </w:rPr>
        <w:t>7-3．評価及び停止条項の必要性</w:t>
      </w:r>
    </w:p>
    <w:p w14:paraId="4D21FC5E" w14:textId="77777777" w:rsidR="00593121" w:rsidRDefault="00000000">
      <w:pPr>
        <w:pStyle w:val="BodyTight"/>
        <w:rPr>
          <w:lang w:eastAsia="ja-JP"/>
        </w:rPr>
      </w:pPr>
      <w:r>
        <w:rPr>
          <w:lang w:eastAsia="ja-JP"/>
        </w:rPr>
        <w:t>時限措置のみでは、制度運営の適否を十分に点検することは困難であるため、中間評価及び停止条項を併せて設ける必要がある。</w:t>
      </w:r>
    </w:p>
    <w:p w14:paraId="2BDB8774" w14:textId="77777777" w:rsidR="00593121" w:rsidRDefault="00000000">
      <w:pPr>
        <w:pStyle w:val="BodyTight"/>
        <w:rPr>
          <w:lang w:eastAsia="ja-JP"/>
        </w:rPr>
      </w:pPr>
      <w:r>
        <w:rPr>
          <w:lang w:eastAsia="ja-JP"/>
        </w:rPr>
        <w:t>中間評価については、施行後五年の時点で、制度目的との適合性、投資成果、財政規律との整合、運営透明性及び地域波及効果等を総合的に検証する仕組みを法律上又は制度上設けることが考えられる。</w:t>
      </w:r>
    </w:p>
    <w:p w14:paraId="1FE836CC" w14:textId="77777777" w:rsidR="00593121" w:rsidRDefault="00000000">
      <w:pPr>
        <w:pStyle w:val="BodyTight"/>
        <w:rPr>
          <w:lang w:eastAsia="ja-JP"/>
        </w:rPr>
      </w:pPr>
      <w:r>
        <w:rPr>
          <w:lang w:eastAsia="ja-JP"/>
        </w:rPr>
        <w:t>また、長期国債利回りが三パーセントを超える状態が一定期間継続した場合に新規出資を停止する条項は、市場環境の変化に応じて制度拡張を自動的に抑制する装置として機能し得る。</w:t>
      </w:r>
    </w:p>
    <w:p w14:paraId="2A8AF8CB" w14:textId="77777777" w:rsidR="00593121" w:rsidRDefault="00000000">
      <w:pPr>
        <w:pStyle w:val="BodyTight"/>
        <w:rPr>
          <w:lang w:eastAsia="ja-JP"/>
        </w:rPr>
      </w:pPr>
      <w:r>
        <w:rPr>
          <w:lang w:eastAsia="ja-JP"/>
        </w:rPr>
        <w:lastRenderedPageBreak/>
        <w:t>このような評価及び停止条項を明示することにより、本制度が財政規律及び市場信認への配慮を内在化した枠組みであることを、法技術上も明確に示すことができる。</w:t>
      </w:r>
    </w:p>
    <w:p w14:paraId="30773E91" w14:textId="77777777" w:rsidR="00593121" w:rsidRDefault="00000000">
      <w:pPr>
        <w:pStyle w:val="SubHeadJP"/>
        <w:rPr>
          <w:lang w:eastAsia="ja-JP"/>
        </w:rPr>
      </w:pPr>
      <w:r>
        <w:rPr>
          <w:lang w:eastAsia="ja-JP"/>
        </w:rPr>
        <w:t>7-4．監査・報告との一体整理</w:t>
      </w:r>
    </w:p>
    <w:p w14:paraId="69A80AB4" w14:textId="77777777" w:rsidR="00593121" w:rsidRDefault="00000000">
      <w:pPr>
        <w:pStyle w:val="BodyTight"/>
        <w:rPr>
          <w:lang w:eastAsia="ja-JP"/>
        </w:rPr>
      </w:pPr>
      <w:r>
        <w:rPr>
          <w:lang w:eastAsia="ja-JP"/>
        </w:rPr>
        <w:t>財政規律は、時限、評価及び停止条項のみで完結するものではなく、監査及び国会報告と一体として整理することが重要である。</w:t>
      </w:r>
    </w:p>
    <w:p w14:paraId="6EAF86E9" w14:textId="77777777" w:rsidR="00593121" w:rsidRDefault="00000000">
      <w:pPr>
        <w:pStyle w:val="BodyTight"/>
        <w:rPr>
          <w:lang w:eastAsia="ja-JP"/>
        </w:rPr>
      </w:pPr>
      <w:r>
        <w:rPr>
          <w:lang w:eastAsia="ja-JP"/>
        </w:rPr>
        <w:t>すなわち、制度内部の統制措置として時限、評価及び停止条項を置き、制度外部の統制措置として会計検査院による監査及び国会報告を位置づけることにより、初めて本制度全体としての規律構造が完成する。</w:t>
      </w:r>
    </w:p>
    <w:p w14:paraId="5ED78B95" w14:textId="77777777" w:rsidR="00593121" w:rsidRDefault="00000000">
      <w:pPr>
        <w:pStyle w:val="BodyTight"/>
        <w:rPr>
          <w:lang w:eastAsia="ja-JP"/>
        </w:rPr>
      </w:pPr>
      <w:r>
        <w:rPr>
          <w:lang w:eastAsia="ja-JP"/>
        </w:rPr>
        <w:t>このため、法技術上は、財政規律条項、監査条項及び報告条項を相互に関連づけ、一体の統制体系として理解できる形に整理することが望ましい。</w:t>
      </w:r>
    </w:p>
    <w:p w14:paraId="0E12C58C" w14:textId="77777777" w:rsidR="00593121" w:rsidRDefault="00000000">
      <w:pPr>
        <w:pStyle w:val="BodyTight"/>
        <w:rPr>
          <w:lang w:eastAsia="ja-JP"/>
        </w:rPr>
      </w:pPr>
      <w:r>
        <w:rPr>
          <w:lang w:eastAsia="ja-JP"/>
        </w:rPr>
        <w:t>以上から、本制度における財政規律と統制装置は、政策的配慮を示す補助条項ではなく、本制度の成立可能性そのものを支える基幹条項として扱うべきである。</w:t>
      </w:r>
    </w:p>
    <w:p w14:paraId="01314D5A" w14:textId="77777777" w:rsidR="00593121" w:rsidRDefault="00000000">
      <w:pPr>
        <w:pStyle w:val="SectionHeadJP"/>
        <w:rPr>
          <w:lang w:eastAsia="ja-JP"/>
        </w:rPr>
      </w:pPr>
      <w:r>
        <w:rPr>
          <w:lang w:eastAsia="ja-JP"/>
        </w:rPr>
        <w:t>8．法律事項と政令委任事項の切分け</w:t>
      </w:r>
    </w:p>
    <w:p w14:paraId="5B711FBB" w14:textId="77777777" w:rsidR="00593121" w:rsidRDefault="00000000">
      <w:pPr>
        <w:pStyle w:val="SubHeadJP"/>
        <w:rPr>
          <w:lang w:eastAsia="ja-JP"/>
        </w:rPr>
      </w:pPr>
      <w:r>
        <w:rPr>
          <w:lang w:eastAsia="ja-JP"/>
        </w:rPr>
        <w:t>8-1．切分けの必要性</w:t>
      </w:r>
    </w:p>
    <w:p w14:paraId="1DDB1EF4" w14:textId="77777777" w:rsidR="00593121" w:rsidRDefault="00000000">
      <w:pPr>
        <w:pStyle w:val="BodyTight"/>
        <w:rPr>
          <w:lang w:eastAsia="ja-JP"/>
        </w:rPr>
      </w:pPr>
      <w:r>
        <w:rPr>
          <w:lang w:eastAsia="ja-JP"/>
        </w:rPr>
        <w:t>本制度を特別措置法により整理する場合には、何を法律事項として規定し、何を政令又は下位規範に委任するかを明確に切り分ける必要がある。</w:t>
      </w:r>
    </w:p>
    <w:p w14:paraId="7A3F49A8" w14:textId="77777777" w:rsidR="00593121" w:rsidRDefault="00000000">
      <w:pPr>
        <w:pStyle w:val="BodyTight"/>
        <w:rPr>
          <w:lang w:eastAsia="ja-JP"/>
        </w:rPr>
      </w:pPr>
      <w:r>
        <w:rPr>
          <w:lang w:eastAsia="ja-JP"/>
        </w:rPr>
        <w:t>その理由は、法律に制度の根幹を置くことにより立法府による統制及び法的安定性を確保しつつ、制度運用上の技術的・細目的事項については一定の柔軟性を持たせる必要があるためである。</w:t>
      </w:r>
    </w:p>
    <w:p w14:paraId="68F9BC1F" w14:textId="77777777" w:rsidR="00593121" w:rsidRDefault="00000000">
      <w:pPr>
        <w:pStyle w:val="BodyTight"/>
        <w:rPr>
          <w:lang w:eastAsia="ja-JP"/>
        </w:rPr>
      </w:pPr>
      <w:r>
        <w:rPr>
          <w:lang w:eastAsia="ja-JP"/>
        </w:rPr>
        <w:t>この切分けが不明確である場合、制度の中核事項が過度に行政裁量へ委ねられる一方、法律が過度に詳細化して運用硬直を招くおそれがある。</w:t>
      </w:r>
    </w:p>
    <w:p w14:paraId="4FB2E879" w14:textId="77777777" w:rsidR="00593121" w:rsidRDefault="00000000">
      <w:pPr>
        <w:pStyle w:val="BodyTight"/>
        <w:rPr>
          <w:lang w:eastAsia="ja-JP"/>
        </w:rPr>
      </w:pPr>
      <w:r>
        <w:rPr>
          <w:lang w:eastAsia="ja-JP"/>
        </w:rPr>
        <w:t>したがって、本制度の成立可能性を高めるためには、法律事項と委任事項の範囲を、制度目的及び法技術の両面から整理することが不可欠である。</w:t>
      </w:r>
    </w:p>
    <w:p w14:paraId="1D8D436D" w14:textId="77777777" w:rsidR="00593121" w:rsidRDefault="00000000">
      <w:pPr>
        <w:pStyle w:val="SubHeadJP"/>
        <w:rPr>
          <w:lang w:eastAsia="ja-JP"/>
        </w:rPr>
      </w:pPr>
      <w:r>
        <w:rPr>
          <w:lang w:eastAsia="ja-JP"/>
        </w:rPr>
        <w:t>8-2．法律に置くべき事項</w:t>
      </w:r>
    </w:p>
    <w:p w14:paraId="4F605B6D" w14:textId="77777777" w:rsidR="00593121" w:rsidRDefault="00000000">
      <w:pPr>
        <w:pStyle w:val="BodyTight"/>
        <w:rPr>
          <w:lang w:eastAsia="ja-JP"/>
        </w:rPr>
      </w:pPr>
      <w:r>
        <w:rPr>
          <w:lang w:eastAsia="ja-JP"/>
        </w:rPr>
        <w:t>本制度において法律に明記すべき事項としては、第一に、制度目的及び基本理念、第二に、基金の設置及び管理主体、第三に、財源の基本類型、第四に、政府出資の根拠及び政府の法的位置づけ、第五に、投資対象の基本類型及び対象外規定、第六に、時限、中間評価、停止条項、監査及び国会報告、第七に、解散及び残余財産の帰属等が挙げられる。</w:t>
      </w:r>
    </w:p>
    <w:p w14:paraId="3EA05298" w14:textId="77777777" w:rsidR="00593121" w:rsidRDefault="00000000">
      <w:pPr>
        <w:pStyle w:val="BodyTight"/>
        <w:rPr>
          <w:lang w:eastAsia="ja-JP"/>
        </w:rPr>
      </w:pPr>
      <w:r>
        <w:rPr>
          <w:lang w:eastAsia="ja-JP"/>
        </w:rPr>
        <w:lastRenderedPageBreak/>
        <w:t>これらは、本制度の根幹を構成し、制度の目的、範囲、限界及び統制措置を外部から明確に把握可能とするために不可欠な事項である。</w:t>
      </w:r>
    </w:p>
    <w:p w14:paraId="278D5D93" w14:textId="77777777" w:rsidR="00593121" w:rsidRDefault="00000000">
      <w:pPr>
        <w:pStyle w:val="BodyTight"/>
        <w:rPr>
          <w:lang w:eastAsia="ja-JP"/>
        </w:rPr>
      </w:pPr>
      <w:r>
        <w:rPr>
          <w:lang w:eastAsia="ja-JP"/>
        </w:rPr>
        <w:t>特に、対象限定及び除外規定並びに財政規律に関する条項は、本制度の性格を決定づけるため、法律事項として置く必要性が高い。</w:t>
      </w:r>
    </w:p>
    <w:p w14:paraId="754B8766" w14:textId="77777777" w:rsidR="00593121" w:rsidRDefault="00000000">
      <w:pPr>
        <w:pStyle w:val="SubHeadJP"/>
        <w:rPr>
          <w:lang w:eastAsia="ja-JP"/>
        </w:rPr>
      </w:pPr>
      <w:r>
        <w:rPr>
          <w:lang w:eastAsia="ja-JP"/>
        </w:rPr>
        <w:t>8-3．政令等に委任し得る事項</w:t>
      </w:r>
    </w:p>
    <w:p w14:paraId="6D963A54" w14:textId="77777777" w:rsidR="00593121" w:rsidRDefault="00000000">
      <w:pPr>
        <w:pStyle w:val="BodyTight"/>
        <w:rPr>
          <w:lang w:eastAsia="ja-JP"/>
        </w:rPr>
      </w:pPr>
      <w:r>
        <w:rPr>
          <w:lang w:eastAsia="ja-JP"/>
        </w:rPr>
        <w:t>これに対し、制度運用上の細目に属する事項については、政令又は下位規範に委任することが合理的である。</w:t>
      </w:r>
    </w:p>
    <w:p w14:paraId="3748A679" w14:textId="77777777" w:rsidR="00593121" w:rsidRDefault="00000000">
      <w:pPr>
        <w:pStyle w:val="BodyTight"/>
        <w:rPr>
          <w:lang w:eastAsia="ja-JP"/>
        </w:rPr>
      </w:pPr>
      <w:r>
        <w:rPr>
          <w:lang w:eastAsia="ja-JP"/>
        </w:rPr>
        <w:t>たとえば、北日本地域の具体的区域、投資対象事業の細分類、停止条項における一定期間の具体的内容、報告様式、管理事務の手続細目、運用主体の選定基準の詳細等については、制度趣旨の範囲内で委任する余地がある。</w:t>
      </w:r>
    </w:p>
    <w:p w14:paraId="79273078" w14:textId="77777777" w:rsidR="00593121" w:rsidRDefault="00000000">
      <w:pPr>
        <w:pStyle w:val="BodyTight"/>
        <w:rPr>
          <w:lang w:eastAsia="ja-JP"/>
        </w:rPr>
      </w:pPr>
      <w:r>
        <w:rPr>
          <w:lang w:eastAsia="ja-JP"/>
        </w:rPr>
        <w:t>もっとも、委任に当たっては、白紙委任とならないよう、法律において基本的枠組み、目的及び範囲を明示しておく必要がある。</w:t>
      </w:r>
    </w:p>
    <w:p w14:paraId="6F7B547E" w14:textId="77777777" w:rsidR="00593121" w:rsidRDefault="00000000">
      <w:pPr>
        <w:pStyle w:val="BodyTight"/>
        <w:rPr>
          <w:lang w:eastAsia="ja-JP"/>
        </w:rPr>
      </w:pPr>
      <w:r>
        <w:rPr>
          <w:lang w:eastAsia="ja-JP"/>
        </w:rPr>
        <w:t>このため、委任事項は、制度の本質を左右しない細目に限定し、根幹部分については法律上確定しておくことが望ましい。</w:t>
      </w:r>
    </w:p>
    <w:p w14:paraId="69654B00" w14:textId="77777777" w:rsidR="00593121" w:rsidRDefault="00000000">
      <w:pPr>
        <w:pStyle w:val="SubHeadJP"/>
        <w:rPr>
          <w:lang w:eastAsia="ja-JP"/>
        </w:rPr>
      </w:pPr>
      <w:r>
        <w:rPr>
          <w:lang w:eastAsia="ja-JP"/>
        </w:rPr>
        <w:t>8-4．法技術上の留意点</w:t>
      </w:r>
    </w:p>
    <w:p w14:paraId="6DFB281F" w14:textId="77777777" w:rsidR="00593121" w:rsidRDefault="00000000">
      <w:pPr>
        <w:pStyle w:val="BodyTight"/>
        <w:rPr>
          <w:lang w:eastAsia="ja-JP"/>
        </w:rPr>
      </w:pPr>
      <w:r>
        <w:rPr>
          <w:lang w:eastAsia="ja-JP"/>
        </w:rPr>
        <w:t>法律事項と政令委任事項の切分けに当たっては、単に抽象的に「法律に書くか、政令に委ねるか」を判断するのではなく、当該事項が制度目的、対象限定、財政規律及び統制措置にどの程度関わるかを基準として整理する必要がある。</w:t>
      </w:r>
    </w:p>
    <w:p w14:paraId="573F2765" w14:textId="77777777" w:rsidR="00593121" w:rsidRDefault="00000000">
      <w:pPr>
        <w:pStyle w:val="BodyTight"/>
        <w:rPr>
          <w:lang w:eastAsia="ja-JP"/>
        </w:rPr>
      </w:pPr>
      <w:r>
        <w:rPr>
          <w:lang w:eastAsia="ja-JP"/>
        </w:rPr>
        <w:t>特に、本制度は特別措置法としての限定性及び例外性を有するため、制度の外延を画する事項を過度に委任してしまうと、立法時点で想定した制度趣旨が将来的に変質するおそれがある。</w:t>
      </w:r>
    </w:p>
    <w:p w14:paraId="2CD72A87" w14:textId="77777777" w:rsidR="00593121" w:rsidRDefault="00000000">
      <w:pPr>
        <w:pStyle w:val="BodyTight"/>
        <w:rPr>
          <w:lang w:eastAsia="ja-JP"/>
        </w:rPr>
      </w:pPr>
      <w:r>
        <w:rPr>
          <w:lang w:eastAsia="ja-JP"/>
        </w:rPr>
        <w:t>したがって、法技術上は、制度の目的、対象、限界及び統制措置を法律事項として確定し、その具体的運用の細部のみを委任するという構成が、最も整合的かつ説明可能性の高い整理である。</w:t>
      </w:r>
    </w:p>
    <w:p w14:paraId="558758E7" w14:textId="77777777" w:rsidR="00593121" w:rsidRDefault="00000000">
      <w:pPr>
        <w:pStyle w:val="SectionHeadJP"/>
        <w:rPr>
          <w:lang w:eastAsia="ja-JP"/>
        </w:rPr>
      </w:pPr>
      <w:r>
        <w:rPr>
          <w:lang w:eastAsia="ja-JP"/>
        </w:rPr>
        <w:t>9．法務省との役割分担</w:t>
      </w:r>
    </w:p>
    <w:p w14:paraId="446A8A48" w14:textId="77777777" w:rsidR="00593121" w:rsidRDefault="00000000">
      <w:pPr>
        <w:pStyle w:val="SubHeadJP"/>
        <w:rPr>
          <w:lang w:eastAsia="ja-JP"/>
        </w:rPr>
      </w:pPr>
      <w:r>
        <w:rPr>
          <w:lang w:eastAsia="ja-JP"/>
        </w:rPr>
        <w:t>9-1．法務省が担う領域</w:t>
      </w:r>
    </w:p>
    <w:p w14:paraId="4647C95E" w14:textId="77777777" w:rsidR="00593121" w:rsidRDefault="00000000">
      <w:pPr>
        <w:pStyle w:val="BodyTight"/>
        <w:rPr>
          <w:lang w:eastAsia="ja-JP"/>
        </w:rPr>
      </w:pPr>
      <w:r>
        <w:rPr>
          <w:lang w:eastAsia="ja-JP"/>
        </w:rPr>
        <w:t>本構想の制度化に当たり、法務省が主として関与する領域は、法人、契約、権利義務、人権配慮及び高度外国人材受入れ制度等、制度実装に伴う法制度の安定化に関する部分である。</w:t>
      </w:r>
    </w:p>
    <w:p w14:paraId="4B04F37D" w14:textId="77777777" w:rsidR="00593121" w:rsidRDefault="00000000">
      <w:pPr>
        <w:pStyle w:val="BodyTight"/>
        <w:rPr>
          <w:lang w:eastAsia="ja-JP"/>
        </w:rPr>
      </w:pPr>
      <w:r>
        <w:rPr>
          <w:lang w:eastAsia="ja-JP"/>
        </w:rPr>
        <w:lastRenderedPageBreak/>
        <w:t>具体的には、基金又は関連主体の法人法上の位置づけ、出資契約、運用契約、利益相反管理、権利義務関係の明確化、並びに制度運用に伴う人権配慮の在り方等が主な検討対象となる。</w:t>
      </w:r>
    </w:p>
    <w:p w14:paraId="17FDE22C" w14:textId="77777777" w:rsidR="00593121" w:rsidRDefault="00000000">
      <w:pPr>
        <w:pStyle w:val="BodyTight"/>
        <w:rPr>
          <w:lang w:eastAsia="ja-JP"/>
        </w:rPr>
      </w:pPr>
      <w:r>
        <w:rPr>
          <w:lang w:eastAsia="ja-JP"/>
        </w:rPr>
        <w:t>また、将来的に本構想が高度専門人材の受入れ、研究開発拠点形成又は地域定着支援と接続する場合には、在留資格その他外国人高度人材制度との関係も法務省所掌の重要論点となり得る。</w:t>
      </w:r>
    </w:p>
    <w:p w14:paraId="01DA6AB6" w14:textId="77777777" w:rsidR="00593121" w:rsidRDefault="00000000">
      <w:pPr>
        <w:pStyle w:val="SubHeadJP"/>
        <w:rPr>
          <w:lang w:eastAsia="ja-JP"/>
        </w:rPr>
      </w:pPr>
      <w:r>
        <w:rPr>
          <w:lang w:eastAsia="ja-JP"/>
        </w:rPr>
        <w:t>9-2．内閣法制局が担う領域</w:t>
      </w:r>
    </w:p>
    <w:p w14:paraId="333C687D" w14:textId="77777777" w:rsidR="00593121" w:rsidRDefault="00000000">
      <w:pPr>
        <w:pStyle w:val="BodyTight"/>
        <w:rPr>
          <w:lang w:eastAsia="ja-JP"/>
        </w:rPr>
      </w:pPr>
      <w:r>
        <w:rPr>
          <w:lang w:eastAsia="ja-JP"/>
        </w:rPr>
        <w:t>これに対し、内閣法制局が主として担う領域は、本制度が法令として成立するか、既存法体系と整合するか、条文構造及び委任範囲が適切であるかを審査する点にある。</w:t>
      </w:r>
    </w:p>
    <w:p w14:paraId="2F8148DF" w14:textId="77777777" w:rsidR="00593121" w:rsidRDefault="00000000">
      <w:pPr>
        <w:pStyle w:val="BodyTight"/>
        <w:rPr>
          <w:lang w:eastAsia="ja-JP"/>
        </w:rPr>
      </w:pPr>
      <w:r>
        <w:rPr>
          <w:lang w:eastAsia="ja-JP"/>
        </w:rPr>
        <w:t>すなわち、法務省が制度内容の実装可能性及び権利義務関係の安定化に関与するのに対し、内閣法制局は、制度全体を法令として整理した場合の法技術上の整合性及び条文化の適否を確認する立場にある。</w:t>
      </w:r>
    </w:p>
    <w:p w14:paraId="0DD56C1B" w14:textId="77777777" w:rsidR="00593121" w:rsidRDefault="00000000">
      <w:pPr>
        <w:pStyle w:val="BodyTight"/>
        <w:rPr>
          <w:lang w:eastAsia="ja-JP"/>
        </w:rPr>
      </w:pPr>
      <w:r>
        <w:rPr>
          <w:lang w:eastAsia="ja-JP"/>
        </w:rPr>
        <w:t>このため、法務省と内閣法制局は、同じ「法」に関与するものの、その役割は重なるものではなく、前者は制度実装面、後者は法令審査面をそれぞれ中心に担うものとして区別して整理する必要がある。</w:t>
      </w:r>
    </w:p>
    <w:p w14:paraId="4FA0FA29" w14:textId="77777777" w:rsidR="00593121" w:rsidRDefault="00000000">
      <w:pPr>
        <w:pStyle w:val="SubHeadJP"/>
        <w:rPr>
          <w:lang w:eastAsia="ja-JP"/>
        </w:rPr>
      </w:pPr>
      <w:r>
        <w:rPr>
          <w:lang w:eastAsia="ja-JP"/>
        </w:rPr>
        <w:t>9-3．役割分担を明確にする必要性</w:t>
      </w:r>
    </w:p>
    <w:p w14:paraId="6DA9D321" w14:textId="77777777" w:rsidR="00593121" w:rsidRDefault="00000000">
      <w:pPr>
        <w:pStyle w:val="BodyTight"/>
        <w:rPr>
          <w:lang w:eastAsia="ja-JP"/>
        </w:rPr>
      </w:pPr>
      <w:r>
        <w:rPr>
          <w:lang w:eastAsia="ja-JP"/>
        </w:rPr>
        <w:t>本構想は、基金、出資、投資対象、対象外規定、統制措置及び時限を含む複合的制度であるため、法務省と内閣法制局の役割が曖昧なままでは、制度化段階における論点整理が錯綜するおそれがある。</w:t>
      </w:r>
    </w:p>
    <w:p w14:paraId="271589D5" w14:textId="77777777" w:rsidR="00593121" w:rsidRDefault="00000000">
      <w:pPr>
        <w:pStyle w:val="BodyTight"/>
        <w:rPr>
          <w:lang w:eastAsia="ja-JP"/>
        </w:rPr>
      </w:pPr>
      <w:r>
        <w:rPr>
          <w:lang w:eastAsia="ja-JP"/>
        </w:rPr>
        <w:t>とりわけ、法人形態、契約、権利義務及び人権配慮の問題を、条文構造や委任範囲の問題と混同した場合、制度実装論と法令審査論が適切に分離されず、協議が非効率化する可能性がある。</w:t>
      </w:r>
    </w:p>
    <w:p w14:paraId="00557923" w14:textId="77777777" w:rsidR="00593121" w:rsidRDefault="00000000">
      <w:pPr>
        <w:pStyle w:val="BodyTight"/>
        <w:rPr>
          <w:lang w:eastAsia="ja-JP"/>
        </w:rPr>
      </w:pPr>
      <w:r>
        <w:rPr>
          <w:lang w:eastAsia="ja-JP"/>
        </w:rPr>
        <w:t>このため、制度化に当たっては、法務省が担う制度実装上の法的安定化と、内閣法制局が担う法令としての成立可能性審査とを意識的に切り分け、関係府省庁間での役割整理を明確にしておくことが重要である。</w:t>
      </w:r>
    </w:p>
    <w:p w14:paraId="6A14F580" w14:textId="77777777" w:rsidR="00593121" w:rsidRDefault="00000000">
      <w:pPr>
        <w:pStyle w:val="SubHeadJP"/>
        <w:rPr>
          <w:lang w:eastAsia="ja-JP"/>
        </w:rPr>
      </w:pPr>
      <w:r>
        <w:rPr>
          <w:lang w:eastAsia="ja-JP"/>
        </w:rPr>
        <w:t>9-4．制度化工程との関係</w:t>
      </w:r>
    </w:p>
    <w:p w14:paraId="411B1BC6" w14:textId="77777777" w:rsidR="00593121" w:rsidRDefault="00000000">
      <w:pPr>
        <w:pStyle w:val="BodyTight"/>
        <w:rPr>
          <w:lang w:eastAsia="ja-JP"/>
        </w:rPr>
      </w:pPr>
      <w:r>
        <w:rPr>
          <w:lang w:eastAsia="ja-JP"/>
        </w:rPr>
        <w:t>制度化工程においては、まず内閣府を中心として政策目的、管理主体及び関係府省庁の役割を整理し、その後、法務省において法人、契約、権利義務等の実装上の論点を整理し、最終的に内閣法制局において法令としての整合性及び条文化の適否を審査する流れが想定される。</w:t>
      </w:r>
    </w:p>
    <w:p w14:paraId="48054ED9" w14:textId="77777777" w:rsidR="00593121" w:rsidRDefault="00000000">
      <w:pPr>
        <w:pStyle w:val="BodyTight"/>
        <w:rPr>
          <w:lang w:eastAsia="ja-JP"/>
        </w:rPr>
      </w:pPr>
      <w:r>
        <w:rPr>
          <w:lang w:eastAsia="ja-JP"/>
        </w:rPr>
        <w:t>このような順序性を意識することにより、本構想の制度化は、政策論、制度実装論及び法令審査論を段階的に積み上げる形で進めやすくなる。</w:t>
      </w:r>
    </w:p>
    <w:p w14:paraId="0EAEC575" w14:textId="77777777" w:rsidR="00593121" w:rsidRDefault="00000000">
      <w:pPr>
        <w:pStyle w:val="BodyTight"/>
        <w:rPr>
          <w:lang w:eastAsia="ja-JP"/>
        </w:rPr>
      </w:pPr>
      <w:r>
        <w:rPr>
          <w:lang w:eastAsia="ja-JP"/>
        </w:rPr>
        <w:t>したがって、本メモにおいて法務省との役割分担を明確に整理することは、単なる所掌整理にとどまらず、制度化工程全体の見通しを立てる上でも重要な意味を有する。</w:t>
      </w:r>
    </w:p>
    <w:p w14:paraId="61D9DF2F" w14:textId="77777777" w:rsidR="00593121" w:rsidRDefault="00000000">
      <w:pPr>
        <w:pStyle w:val="SectionHeadJP"/>
        <w:rPr>
          <w:lang w:eastAsia="ja-JP"/>
        </w:rPr>
      </w:pPr>
      <w:r>
        <w:rPr>
          <w:lang w:eastAsia="ja-JP"/>
        </w:rPr>
        <w:lastRenderedPageBreak/>
        <w:t>10．今後の制度化工程</w:t>
      </w:r>
    </w:p>
    <w:p w14:paraId="7E540B6D" w14:textId="77777777" w:rsidR="00593121" w:rsidRDefault="00000000">
      <w:pPr>
        <w:pStyle w:val="SubHeadJP"/>
        <w:rPr>
          <w:lang w:eastAsia="ja-JP"/>
        </w:rPr>
      </w:pPr>
      <w:r>
        <w:rPr>
          <w:lang w:eastAsia="ja-JP"/>
        </w:rPr>
        <w:t>10-1．初期的論点整理の段階</w:t>
      </w:r>
    </w:p>
    <w:p w14:paraId="79475060" w14:textId="77777777" w:rsidR="00593121" w:rsidRDefault="00000000">
      <w:pPr>
        <w:pStyle w:val="BodyTight"/>
        <w:rPr>
          <w:lang w:eastAsia="ja-JP"/>
        </w:rPr>
      </w:pPr>
      <w:r>
        <w:rPr>
          <w:lang w:eastAsia="ja-JP"/>
        </w:rPr>
        <w:t>本構想の制度化に当たっては、まず、政策目的、対象範囲、管理主体、財源、投資対象、対象外規定及び統制措置に関する初期的論点整理を行う必要がある。</w:t>
      </w:r>
    </w:p>
    <w:p w14:paraId="3FE375C6" w14:textId="77777777" w:rsidR="00593121" w:rsidRDefault="00000000">
      <w:pPr>
        <w:pStyle w:val="BodyTight"/>
        <w:rPr>
          <w:lang w:eastAsia="ja-JP"/>
        </w:rPr>
      </w:pPr>
      <w:r>
        <w:rPr>
          <w:lang w:eastAsia="ja-JP"/>
        </w:rPr>
        <w:t>この段階では、制度として何を実現しようとするのか、その目的と限界を明確にし、既存法令との接続可能性及び特別措置法の要否を概括的に把握することが重要である。</w:t>
      </w:r>
    </w:p>
    <w:p w14:paraId="142A135C" w14:textId="77777777" w:rsidR="00593121" w:rsidRDefault="00000000">
      <w:pPr>
        <w:pStyle w:val="BodyTight"/>
        <w:rPr>
          <w:lang w:eastAsia="ja-JP"/>
        </w:rPr>
      </w:pPr>
      <w:r>
        <w:rPr>
          <w:lang w:eastAsia="ja-JP"/>
        </w:rPr>
        <w:t>本メモ及び別紙D-1骨子案は、まさにこの初期的論点整理段階における基礎資料として位置づけられる。</w:t>
      </w:r>
    </w:p>
    <w:p w14:paraId="2D356F83" w14:textId="77777777" w:rsidR="00593121" w:rsidRDefault="00000000">
      <w:pPr>
        <w:pStyle w:val="SubHeadJP"/>
        <w:rPr>
          <w:lang w:eastAsia="ja-JP"/>
        </w:rPr>
      </w:pPr>
      <w:r>
        <w:rPr>
          <w:lang w:eastAsia="ja-JP"/>
        </w:rPr>
        <w:t>10-2．関係府省庁との役割分担整理</w:t>
      </w:r>
    </w:p>
    <w:p w14:paraId="7603CC2E" w14:textId="77777777" w:rsidR="00593121" w:rsidRDefault="00000000">
      <w:pPr>
        <w:pStyle w:val="BodyTight"/>
        <w:rPr>
          <w:lang w:eastAsia="ja-JP"/>
        </w:rPr>
      </w:pPr>
      <w:r>
        <w:rPr>
          <w:lang w:eastAsia="ja-JP"/>
        </w:rPr>
        <w:t>次の段階では、内閣府を中心として、財務省、経済産業省、国土交通省、法務省、外務省、デジタル庁、総務省その他関係府省庁との役割分担を整理する必要がある。</w:t>
      </w:r>
    </w:p>
    <w:p w14:paraId="0ABCE784" w14:textId="77777777" w:rsidR="00593121" w:rsidRDefault="00000000">
      <w:pPr>
        <w:pStyle w:val="BodyTight"/>
        <w:rPr>
          <w:lang w:eastAsia="ja-JP"/>
        </w:rPr>
      </w:pPr>
      <w:r>
        <w:rPr>
          <w:lang w:eastAsia="ja-JP"/>
        </w:rPr>
        <w:t>その際、本制度の中核を成す基金管理、財源整理、投資対象、制度統制及び法制整理の各領域について、どの府省庁がどの論点を担うかを明確化することが求められる。</w:t>
      </w:r>
    </w:p>
    <w:p w14:paraId="0C0A6E86" w14:textId="77777777" w:rsidR="00593121" w:rsidRDefault="00000000">
      <w:pPr>
        <w:pStyle w:val="BodyTight"/>
        <w:rPr>
          <w:lang w:eastAsia="ja-JP"/>
        </w:rPr>
      </w:pPr>
      <w:r>
        <w:rPr>
          <w:lang w:eastAsia="ja-JP"/>
        </w:rPr>
        <w:t>特に、法務省が担う制度実装上の法的安定化と、内閣法制局が担う法令審査上の整合確認とは、明確に切り分けて整理することが重要である。</w:t>
      </w:r>
    </w:p>
    <w:p w14:paraId="073ECDAB" w14:textId="77777777" w:rsidR="00593121" w:rsidRDefault="00000000">
      <w:pPr>
        <w:pStyle w:val="SubHeadJP"/>
        <w:rPr>
          <w:lang w:eastAsia="ja-JP"/>
        </w:rPr>
      </w:pPr>
      <w:r>
        <w:rPr>
          <w:lang w:eastAsia="ja-JP"/>
        </w:rPr>
        <w:t>10-3．法的器の精緻化</w:t>
      </w:r>
    </w:p>
    <w:p w14:paraId="0F64DB70" w14:textId="77777777" w:rsidR="00593121" w:rsidRDefault="00000000">
      <w:pPr>
        <w:pStyle w:val="BodyTight"/>
        <w:rPr>
          <w:lang w:eastAsia="ja-JP"/>
        </w:rPr>
      </w:pPr>
      <w:r>
        <w:rPr>
          <w:lang w:eastAsia="ja-JP"/>
        </w:rPr>
        <w:t>役割分担整理の後は、NEASIF特別措置法の骨格を基礎として、法律事項と政令委任事項の切分け、財政法その他関係法令との整合、対象限定及び除外規定の具体化、統制措置の条文化等を進める必要がある。</w:t>
      </w:r>
    </w:p>
    <w:p w14:paraId="2B4301A6" w14:textId="77777777" w:rsidR="00593121" w:rsidRDefault="00000000">
      <w:pPr>
        <w:pStyle w:val="BodyTight"/>
        <w:rPr>
          <w:lang w:eastAsia="ja-JP"/>
        </w:rPr>
      </w:pPr>
      <w:r>
        <w:rPr>
          <w:lang w:eastAsia="ja-JP"/>
        </w:rPr>
        <w:t>この段階では、制度趣旨を維持しつつ、法技術上の明確性、運用可能性及び対外説明可能性を高めることが主たる課題となる。</w:t>
      </w:r>
    </w:p>
    <w:p w14:paraId="44A30C5B" w14:textId="77777777" w:rsidR="00593121" w:rsidRDefault="00000000">
      <w:pPr>
        <w:pStyle w:val="BodyTight"/>
        <w:rPr>
          <w:lang w:eastAsia="ja-JP"/>
        </w:rPr>
      </w:pPr>
      <w:r>
        <w:rPr>
          <w:lang w:eastAsia="ja-JP"/>
        </w:rPr>
        <w:t>また、必要に応じて、基金運営、運用主体選定、報告様式、評価指標その他の実務細目についても、下位規範の射程を見据えて整理を進めることが望ましい。</w:t>
      </w:r>
    </w:p>
    <w:p w14:paraId="3E1DCABD" w14:textId="77777777" w:rsidR="00593121" w:rsidRDefault="00000000">
      <w:pPr>
        <w:pStyle w:val="SubHeadJP"/>
        <w:rPr>
          <w:lang w:eastAsia="ja-JP"/>
        </w:rPr>
      </w:pPr>
      <w:r>
        <w:rPr>
          <w:lang w:eastAsia="ja-JP"/>
        </w:rPr>
        <w:t>10-4．法令審査及び制度実装準備</w:t>
      </w:r>
    </w:p>
    <w:p w14:paraId="17F779AC" w14:textId="77777777" w:rsidR="00593121" w:rsidRDefault="00000000">
      <w:pPr>
        <w:pStyle w:val="BodyTight"/>
        <w:rPr>
          <w:lang w:eastAsia="ja-JP"/>
        </w:rPr>
      </w:pPr>
      <w:r>
        <w:rPr>
          <w:lang w:eastAsia="ja-JP"/>
        </w:rPr>
        <w:t>法的器の精緻化が進んだ後は、内閣法制局において、制度全体が法令として成立し得るか、既存法体系と整合するか、条文構造及び委任範囲が適切かを審査する段階へ移行する。</w:t>
      </w:r>
    </w:p>
    <w:p w14:paraId="0C037A21" w14:textId="77777777" w:rsidR="00593121" w:rsidRDefault="00000000">
      <w:pPr>
        <w:pStyle w:val="BodyTight"/>
        <w:rPr>
          <w:lang w:eastAsia="ja-JP"/>
        </w:rPr>
      </w:pPr>
      <w:r>
        <w:rPr>
          <w:lang w:eastAsia="ja-JP"/>
        </w:rPr>
        <w:t>その過程では、必要に応じて制度内容の修正、条文構成の再整理及び附則的措置の調整が行われることが想定される。</w:t>
      </w:r>
    </w:p>
    <w:p w14:paraId="7C70F1C4" w14:textId="77777777" w:rsidR="00593121" w:rsidRDefault="00000000">
      <w:pPr>
        <w:pStyle w:val="BodyTight"/>
        <w:rPr>
          <w:lang w:eastAsia="ja-JP"/>
        </w:rPr>
      </w:pPr>
      <w:r>
        <w:rPr>
          <w:lang w:eastAsia="ja-JP"/>
        </w:rPr>
        <w:lastRenderedPageBreak/>
        <w:t>さらに、制度実装段階においては、基金設置準備、管理主体の事務体制整備、運用主体選定手続及び報告・監査体制の整備等、施行に先立つ実務準備が必要となる。</w:t>
      </w:r>
    </w:p>
    <w:p w14:paraId="13F7EBBC" w14:textId="77777777" w:rsidR="00593121" w:rsidRDefault="00000000">
      <w:pPr>
        <w:pStyle w:val="SubHeadJP"/>
        <w:rPr>
          <w:lang w:eastAsia="ja-JP"/>
        </w:rPr>
      </w:pPr>
      <w:r>
        <w:rPr>
          <w:lang w:eastAsia="ja-JP"/>
        </w:rPr>
        <w:t>10-5．段階的実装の考え方</w:t>
      </w:r>
    </w:p>
    <w:p w14:paraId="291B44C5" w14:textId="77777777" w:rsidR="00593121" w:rsidRDefault="00000000">
      <w:pPr>
        <w:pStyle w:val="BodyTight"/>
        <w:rPr>
          <w:lang w:eastAsia="ja-JP"/>
        </w:rPr>
      </w:pPr>
      <w:r>
        <w:rPr>
          <w:lang w:eastAsia="ja-JP"/>
        </w:rPr>
        <w:t>本構想は、制度成立と同時にすべてを一挙に実現することを前提とするのではなく、一定の優先順位の下で段階的に実装することが相当である。</w:t>
      </w:r>
    </w:p>
    <w:p w14:paraId="1629F942" w14:textId="77777777" w:rsidR="00593121" w:rsidRDefault="00000000">
      <w:pPr>
        <w:pStyle w:val="BodyTight"/>
        <w:rPr>
          <w:lang w:eastAsia="ja-JP"/>
        </w:rPr>
      </w:pPr>
      <w:r>
        <w:rPr>
          <w:lang w:eastAsia="ja-JP"/>
        </w:rPr>
        <w:t>すなわち、制度目的、基金管理、財源整理及び統制措置を先行的に固めた上で、対象事業の具体化、投資実行及び関連制度との接続を順次進める形が現実的である。</w:t>
      </w:r>
    </w:p>
    <w:p w14:paraId="634C1B96" w14:textId="77777777" w:rsidR="00593121" w:rsidRDefault="00000000">
      <w:pPr>
        <w:pStyle w:val="BodyTight"/>
        <w:rPr>
          <w:lang w:eastAsia="ja-JP"/>
        </w:rPr>
      </w:pPr>
      <w:r>
        <w:rPr>
          <w:lang w:eastAsia="ja-JP"/>
        </w:rPr>
        <w:t>このような段階的実装の考え方を採ることにより、本制度は、法的安定性及び財政規律を確保しながら、中長期的に国家基盤整備を進めるための実施可能な枠組みとして機能し得る。</w:t>
      </w:r>
    </w:p>
    <w:p w14:paraId="79CB35AF" w14:textId="77777777" w:rsidR="00593121" w:rsidRDefault="00000000">
      <w:pPr>
        <w:pStyle w:val="SubHeadJP"/>
        <w:rPr>
          <w:lang w:eastAsia="ja-JP"/>
        </w:rPr>
      </w:pPr>
      <w:r>
        <w:rPr>
          <w:lang w:eastAsia="ja-JP"/>
        </w:rPr>
        <w:t>10-6．制度化工程全体の意義</w:t>
      </w:r>
    </w:p>
    <w:p w14:paraId="03D785DF" w14:textId="77777777" w:rsidR="00593121" w:rsidRDefault="00000000">
      <w:pPr>
        <w:pStyle w:val="BodyTight"/>
        <w:rPr>
          <w:lang w:eastAsia="ja-JP"/>
        </w:rPr>
      </w:pPr>
      <w:r>
        <w:rPr>
          <w:lang w:eastAsia="ja-JP"/>
        </w:rPr>
        <w:t>以上のとおり、本構想の制度化工程は、政策論、関係府省庁調整、制度実装論及び法令審査論を段階的に積み上げる構造を有する。</w:t>
      </w:r>
    </w:p>
    <w:p w14:paraId="7E3762E5" w14:textId="77777777" w:rsidR="00593121" w:rsidRDefault="00000000">
      <w:pPr>
        <w:pStyle w:val="BodyTight"/>
        <w:rPr>
          <w:lang w:eastAsia="ja-JP"/>
        </w:rPr>
      </w:pPr>
      <w:r>
        <w:rPr>
          <w:lang w:eastAsia="ja-JP"/>
        </w:rPr>
        <w:t>その意味において、本メモにおける制度化工程整理は、単なる手続一覧ではなく、北日本戦略再設計構想を理念段階から制度段階へ移行させるための実務的道筋を示すものである。</w:t>
      </w:r>
    </w:p>
    <w:p w14:paraId="2DD9F5CF" w14:textId="77777777" w:rsidR="00593121" w:rsidRDefault="00000000">
      <w:pPr>
        <w:pStyle w:val="BodyTight"/>
        <w:rPr>
          <w:lang w:eastAsia="ja-JP"/>
        </w:rPr>
      </w:pPr>
      <w:r>
        <w:rPr>
          <w:lang w:eastAsia="ja-JP"/>
        </w:rPr>
        <w:t>したがって、今後の制度化においては、各段階に応じた論点整理を適切に積み上げ、政策目的、法技術及び制度実装の三者を整合的に接続することが求められる。</w:t>
      </w:r>
    </w:p>
    <w:p w14:paraId="1DB7E18A" w14:textId="77777777" w:rsidR="00593121" w:rsidRDefault="00000000">
      <w:pPr>
        <w:pStyle w:val="SectionHeadJP"/>
        <w:rPr>
          <w:lang w:eastAsia="ja-JP"/>
        </w:rPr>
      </w:pPr>
      <w:r>
        <w:rPr>
          <w:lang w:eastAsia="ja-JP"/>
        </w:rPr>
        <w:t>11．結語</w:t>
      </w:r>
    </w:p>
    <w:p w14:paraId="32542EB8" w14:textId="77777777" w:rsidR="00593121" w:rsidRDefault="00000000">
      <w:pPr>
        <w:pStyle w:val="BodyTight"/>
        <w:rPr>
          <w:lang w:eastAsia="ja-JP"/>
        </w:rPr>
      </w:pPr>
      <w:r>
        <w:rPr>
          <w:lang w:eastAsia="ja-JP"/>
        </w:rPr>
        <w:t>本メモは、北日本戦略再設計構想の制度化に関連し、特別措置法の要否、既存法令との整合、対象限定及び除外規定、政府の地位、財政規律、統制装置並びに法律事項と政令委任事項の切分け等、法技術上の主要論点を初期的に整理したものである。</w:t>
      </w:r>
    </w:p>
    <w:p w14:paraId="62911C89" w14:textId="77777777" w:rsidR="00593121" w:rsidRDefault="00000000">
      <w:pPr>
        <w:pStyle w:val="BodyTight"/>
        <w:rPr>
          <w:lang w:eastAsia="ja-JP"/>
        </w:rPr>
      </w:pPr>
      <w:r>
        <w:rPr>
          <w:lang w:eastAsia="ja-JP"/>
        </w:rPr>
        <w:t>本構想は、単なる政策理念にとどまらず、基金、出資、運用、監査、時限措置及び終了規定を伴う制度としての具体化を要することから、制度化段階においては法的器及び法技術上の整理が不可欠となる。</w:t>
      </w:r>
    </w:p>
    <w:p w14:paraId="7400AFD9" w14:textId="77777777" w:rsidR="00593121" w:rsidRDefault="00593121">
      <w:pPr>
        <w:pStyle w:val="BodyTight"/>
        <w:rPr>
          <w:lang w:eastAsia="ja-JP"/>
        </w:rPr>
      </w:pPr>
    </w:p>
    <w:p w14:paraId="5967103E" w14:textId="77777777" w:rsidR="00593121" w:rsidRDefault="00000000">
      <w:pPr>
        <w:pStyle w:val="BodyTight"/>
        <w:rPr>
          <w:lang w:eastAsia="ja-JP"/>
        </w:rPr>
      </w:pPr>
      <w:r>
        <w:rPr>
          <w:lang w:eastAsia="ja-JP"/>
        </w:rPr>
        <w:t>本メモを通じて明らかとなるのは、本構想の制度化には、既存法令の単純な組合せでは足りず、必要に応じて限定的かつ時限的な特別措置法による整理を検討する合理性があるという点である。もっとも、その場合であっても、財政法その他関係法令との整合、対象限定及び除外規定の明確化、統制措置の条文化並びに関係府省庁間の役割分担整理を適切に行うことが前提となる。</w:t>
      </w:r>
    </w:p>
    <w:p w14:paraId="61E6F077" w14:textId="77777777" w:rsidR="00593121" w:rsidRDefault="00593121">
      <w:pPr>
        <w:pStyle w:val="BodyTight"/>
        <w:rPr>
          <w:lang w:eastAsia="ja-JP"/>
        </w:rPr>
      </w:pPr>
    </w:p>
    <w:p w14:paraId="73A3EC2E" w14:textId="77777777" w:rsidR="00593121" w:rsidRDefault="00000000">
      <w:pPr>
        <w:pStyle w:val="BodyTight"/>
        <w:rPr>
          <w:lang w:eastAsia="ja-JP"/>
        </w:rPr>
      </w:pPr>
      <w:r>
        <w:rPr>
          <w:lang w:eastAsia="ja-JP"/>
        </w:rPr>
        <w:t>今後は、本メモ及び別紙D-1骨子案を基礎として、内閣府による関係府省庁横断調整、法務省による制度実装上の法的安定化整理及び内閣法制局による法令審査上の精査を段階的に進めることが想定される。したがって、本メモは、北日本戦略再設計構想を制度として成立させるための出発点となる初期的論点整理資料として位置づけられるものである。</w:t>
      </w:r>
    </w:p>
    <w:sectPr w:rsidR="00593121" w:rsidSect="00034616">
      <w:pgSz w:w="12240" w:h="15840"/>
      <w:pgMar w:top="1247"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631327019">
    <w:abstractNumId w:val="8"/>
  </w:num>
  <w:num w:numId="2" w16cid:durableId="2001079205">
    <w:abstractNumId w:val="6"/>
  </w:num>
  <w:num w:numId="3" w16cid:durableId="1484808972">
    <w:abstractNumId w:val="5"/>
  </w:num>
  <w:num w:numId="4" w16cid:durableId="1440762779">
    <w:abstractNumId w:val="4"/>
  </w:num>
  <w:num w:numId="5" w16cid:durableId="33116926">
    <w:abstractNumId w:val="7"/>
  </w:num>
  <w:num w:numId="6" w16cid:durableId="424494874">
    <w:abstractNumId w:val="3"/>
  </w:num>
  <w:num w:numId="7" w16cid:durableId="1226452590">
    <w:abstractNumId w:val="2"/>
  </w:num>
  <w:num w:numId="8" w16cid:durableId="513349293">
    <w:abstractNumId w:val="1"/>
  </w:num>
  <w:num w:numId="9" w16cid:durableId="9650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60A75"/>
    <w:rsid w:val="0015074B"/>
    <w:rsid w:val="0029639D"/>
    <w:rsid w:val="00326F90"/>
    <w:rsid w:val="00593121"/>
    <w:rsid w:val="00AA1D8D"/>
    <w:rsid w:val="00B47730"/>
    <w:rsid w:val="00CB0664"/>
    <w:rsid w:val="00FC458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095A2DBB"/>
  <w14:defaultImageDpi w14:val="300"/>
  <w15:docId w15:val="{D7298747-6025-40DC-A9AB-58546A693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ゴシック" w:eastAsia="游ゴシック" w:hAnsi="游ゴシック"/>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BodyTight">
    <w:name w:val="Body Tight"/>
    <w:basedOn w:val="a1"/>
    <w:pPr>
      <w:spacing w:after="80" w:line="300" w:lineRule="auto"/>
    </w:pPr>
  </w:style>
  <w:style w:type="paragraph" w:customStyle="1" w:styleId="SectionHeadJP">
    <w:name w:val="Section Head JP"/>
    <w:basedOn w:val="a1"/>
    <w:pPr>
      <w:spacing w:before="200" w:after="80"/>
    </w:pPr>
    <w:rPr>
      <w:b/>
      <w:color w:val="1F4E79"/>
      <w:sz w:val="26"/>
    </w:rPr>
  </w:style>
  <w:style w:type="paragraph" w:customStyle="1" w:styleId="SubHeadJP">
    <w:name w:val="Sub Head JP"/>
    <w:basedOn w:val="a1"/>
    <w:pPr>
      <w:spacing w:before="160" w:after="40"/>
    </w:pPr>
    <w:rPr>
      <w:b/>
      <w:color w:val="40404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2026-04-13T12:38:00Z</dcterms:modified>
  <cp:category/>
</cp:coreProperties>
</file>