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rPr>
          <w:rFonts w:ascii="MS Mincho" w:hAnsi="MS Mincho" w:eastAsia="MS Mincho"/>
          <w:sz w:val="18"/>
        </w:rPr>
        <w:t>財務省向け／想定問答集（案）</w:t>
      </w:r>
    </w:p>
    <w:p>
      <w:pPr>
        <w:jc w:val="center"/>
      </w:pPr>
      <w:r>
        <w:rPr>
          <w:rFonts w:ascii="MS Mincho" w:hAnsi="MS Mincho" w:eastAsia="MS Mincho"/>
          <w:b/>
          <w:sz w:val="32"/>
        </w:rPr>
        <w:t>財務省向け想定問答集（20問）</w:t>
      </w:r>
    </w:p>
    <w:p>
      <w:pPr>
        <w:jc w:val="center"/>
      </w:pPr>
      <w:r>
        <w:rPr>
          <w:rFonts w:ascii="MS Mincho" w:hAnsi="MS Mincho" w:eastAsia="MS Mincho"/>
          <w:b/>
          <w:sz w:val="24"/>
        </w:rPr>
        <w:t>北日本戦略再設計構想</w:t>
      </w:r>
    </w:p>
    <w:p>
      <w:pPr>
        <w:keepNext/>
      </w:pPr>
      <w:r>
        <w:rPr>
          <w:rFonts w:ascii="MS Gothic" w:hAnsi="MS Gothic" w:eastAsia="MS Gothic"/>
          <w:b/>
          <w:sz w:val="23"/>
        </w:rPr>
        <w:t>作成目的</w:t>
      </w:r>
    </w:p>
    <w:p>
      <w:pPr>
        <w:spacing w:after="120"/>
      </w:pPr>
      <w:r>
        <w:t>本資料は、北日本戦略再設計構想に関し、財務省向け説明において想定される主要質問と、その回答骨子を整理するものである。</w:t>
      </w:r>
    </w:p>
    <w:p>
      <w:pPr>
        <w:keepNext/>
      </w:pPr>
      <w:r>
        <w:rPr>
          <w:rFonts w:ascii="MS Gothic" w:hAnsi="MS Gothic" w:eastAsia="MS Gothic"/>
          <w:b/>
          <w:sz w:val="23"/>
        </w:rPr>
        <w:t>位置づけ</w:t>
      </w:r>
    </w:p>
    <w:p>
      <w:pPr>
        <w:spacing w:after="120"/>
      </w:pPr>
      <w:r>
        <w:t>本資料は説明補助資料であり、本文、別紙1、別紙2及び別紙3を補完するために作成したものである。記載内容は、現時点の整理案であり、数値及び制度論点は今後、公式資料に基づき再検証を行う前提とする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1．なぜ今この投資が必要なのか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首都圏への機能集中が、巨大災害、物流分断、計算基盤偏在に対する単一障害点となっているためです。</w:t>
        <w:br/>
      </w:r>
      <w:r>
        <w:rPr>
          <w:rFonts w:ascii="MS Mincho" w:hAnsi="MS Mincho" w:eastAsia="MS Mincho"/>
          <w:sz w:val="21"/>
        </w:rPr>
        <w:t>本構想は、地方振興ではなく、国家継続性を高めるための分散投資として位置づけています。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2．なぜ通常の地方創生施策では足りないのか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本構想が対象としているのは、雇用創出や地域活性化そのものではなく、国家中枢機能の過度集中という構造リスクです。</w:t>
        <w:br/>
      </w:r>
      <w:r>
        <w:rPr>
          <w:rFonts w:ascii="MS Mincho" w:hAnsi="MS Mincho" w:eastAsia="MS Mincho"/>
          <w:sz w:val="21"/>
        </w:rPr>
        <w:t>したがって、通常の地方創生施策ではなく、国土分散、物流、エネルギー、計算基盤を一体で扱う必要があります。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3．なぜ青森なのか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青森は、本州最北端に位置し、日本海・太平洋・津軽海峡・陸奥湾を同時に視野に収めることができ、冷却、物流、安全保障、人口減少先進性が重なる地域だからです。</w:t>
        <w:br/>
      </w:r>
      <w:r>
        <w:rPr>
          <w:rFonts w:ascii="MS Mincho" w:hAnsi="MS Mincho" w:eastAsia="MS Mincho"/>
          <w:sz w:val="21"/>
        </w:rPr>
        <w:t>単一資源ではなく、複数条件の高密度重なりが優位性です。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4．なぜ外為特会を使うのか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一般財源による恒久歳出拡大ではなく、外貨準備の安全性を損なわない範囲で、実現収益及び満期償還分を再循環させる方が、財政信認と市場安定性に配慮しやすいためです。</w:t>
        <w:br/>
      </w:r>
      <w:r>
        <w:rPr>
          <w:rFonts w:ascii="MS Mincho" w:hAnsi="MS Mincho" w:eastAsia="MS Mincho"/>
          <w:sz w:val="21"/>
        </w:rPr>
        <w:t>市場売却を前提としない点が重要です。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5．外為特会を使うことは市場に悪影響を与えないのか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市場売却を前提としていないため、直接的な売却ショックは想定していません。</w:t>
        <w:br/>
      </w:r>
      <w:r>
        <w:rPr>
          <w:rFonts w:ascii="MS Mincho" w:hAnsi="MS Mincho" w:eastAsia="MS Mincho"/>
          <w:sz w:val="21"/>
        </w:rPr>
        <w:t>本構想は、実現収益及び満期償還分の再循環を基本とし、外貨準備そのものを毀損しない構造を前提としています。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6．なぜ一般会計の通常歳出ではなく特別な器が必要なのか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本構想は時限的、条件付き、停止可能な国家投資として設計する必要があるためです。</w:t>
        <w:br/>
      </w:r>
      <w:r>
        <w:rPr>
          <w:rFonts w:ascii="MS Mincho" w:hAnsi="MS Mincho" w:eastAsia="MS Mincho"/>
          <w:sz w:val="21"/>
        </w:rPr>
        <w:t>15年時限、5年レビュー、KPI未達時停止、金利3％停止条項などを一体で制度化するには、特別措置法に基づく枠組みが適しています。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7．なぜ15年時限なのか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恒久制度化を避け、あくまで時限的な国家継続性投資として整理するためです。</w:t>
        <w:br/>
      </w:r>
      <w:r>
        <w:rPr>
          <w:rFonts w:ascii="MS Mincho" w:hAnsi="MS Mincho" w:eastAsia="MS Mincho"/>
          <w:sz w:val="21"/>
        </w:rPr>
        <w:t>長期インフラ投資には一定の年限が必要である一方、終了時点を明示することが財政規律上重要です。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8．なぜ5年レビューが必要なのか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政策効果、投資進捗、民間誘発、財政環境の変化を中間点で確認し、継続可否を判断するためです。</w:t>
        <w:br/>
      </w:r>
      <w:r>
        <w:rPr>
          <w:rFonts w:ascii="MS Mincho" w:hAnsi="MS Mincho" w:eastAsia="MS Mincho"/>
          <w:sz w:val="21"/>
        </w:rPr>
        <w:t>開始時点だけでなく、途中で止められる構造を持つことが重要です。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9．なぜ金利3％停止条項なのか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金利上昇局面において投資拡大を自動的に抑制し、債務持続性への悪影響を避けるためです。</w:t>
        <w:br/>
      </w:r>
      <w:r>
        <w:rPr>
          <w:rFonts w:ascii="MS Mincho" w:hAnsi="MS Mincho" w:eastAsia="MS Mincho"/>
          <w:sz w:val="21"/>
        </w:rPr>
        <w:t>平時は成長誘発を狙い、金利環境悪化時には新規拠出を止めるという制御型スキームの中核です。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10．短期的に財政黒字にならないなら、なぜやるのか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本構想は短期黒字化型の案件ではなく、国家継続性、損失回避、民間投資誘発、税収増を複合的に評価すべき案件だからです。</w:t>
        <w:br/>
      </w:r>
      <w:r>
        <w:rPr>
          <w:rFonts w:ascii="MS Mincho" w:hAnsi="MS Mincho" w:eastAsia="MS Mincho"/>
          <w:sz w:val="21"/>
        </w:rPr>
        <w:t>財政回収は長期、経済回収は中期という整理を前提にしています。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11．保険価値とは何か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巨大災害や物流分断が起きた際に、国家的損失の一部を回避又は軽減できる価値です。</w:t>
        <w:br/>
      </w:r>
      <w:r>
        <w:rPr>
          <w:rFonts w:ascii="MS Mincho" w:hAnsi="MS Mincho" w:eastAsia="MS Mincho"/>
          <w:sz w:val="21"/>
        </w:rPr>
        <w:t>本構想では、平時の成長効果だけでなく、非常時の損失回避機能を投資評価に含めています。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12．保険価値約17.5兆円の根拠は何か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首都直下地震、南海トラフ、複合物流停止を代表イベントとし、年間期待損失約9.4兆円に対し、冗長化による年間損失削減額約1.02兆円を仮置きし、割引率1.5％、評価期間20年で現在価値換算した概念試算です。</w:t>
        <w:br/>
      </w:r>
      <w:r>
        <w:rPr>
          <w:rFonts w:ascii="MS Mincho" w:hAnsi="MS Mincho" w:eastAsia="MS Mincho"/>
          <w:sz w:val="21"/>
        </w:rPr>
        <w:t>最終提出時には、公式値と専門家評価による再検証が必要です。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13．この試算は楽観的すぎないか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本文説明では保守ケースを用いる前提です。</w:t>
        <w:br/>
      </w:r>
      <w:r>
        <w:rPr>
          <w:rFonts w:ascii="MS Mincho" w:hAnsi="MS Mincho" w:eastAsia="MS Mincho"/>
          <w:sz w:val="21"/>
        </w:rPr>
        <w:t>損失削減率も全面回避ではなく、部分的軽減にとどめており、試算はあくまで概念整理として扱っています。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14．なぜGDP押上げより保険価値を前面に出すのか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財務省向けには、成長期待のみを前面に出すより、国家的損失回避の必要性を主論点にした方が、本構想の性格を正確に説明できるためです。</w:t>
        <w:br/>
      </w:r>
      <w:r>
        <w:rPr>
          <w:rFonts w:ascii="MS Mincho" w:hAnsi="MS Mincho" w:eastAsia="MS Mincho"/>
          <w:sz w:val="21"/>
        </w:rPr>
        <w:t>成長押上げは重要ですが、本件の本質は国家継続性投資にあります。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15．なぜGPに運用を委ねるのか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個別投資判断から政治を切り離し、専門性と透明性を確保するためです。</w:t>
        <w:br/>
      </w:r>
      <w:r>
        <w:rPr>
          <w:rFonts w:ascii="MS Mincho" w:hAnsi="MS Mincho" w:eastAsia="MS Mincho"/>
          <w:sz w:val="21"/>
        </w:rPr>
        <w:t>政府はLPとして関与し、個別案件の採否には直接関与しない構造を基本とします。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16．政治介入をどう防ぐのか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LP/GP分離、KPI管理、年次報告、会計検査院監査、特措法に基づく対象事業限定により抑制します。</w:t>
        <w:br/>
      </w:r>
      <w:r>
        <w:rPr>
          <w:rFonts w:ascii="MS Mincho" w:hAnsi="MS Mincho" w:eastAsia="MS Mincho"/>
          <w:sz w:val="21"/>
        </w:rPr>
        <w:t>制度上の器で政治と投資判断を分離することが前提です。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17．外資を入れることは安全保障上問題ではないか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防衛装備取得や軍事目的投資は対象外とし、民生インフラ・エネルギー・デジタル基盤に限定することで区分します。</w:t>
        <w:br/>
      </w:r>
      <w:r>
        <w:rPr>
          <w:rFonts w:ascii="MS Mincho" w:hAnsi="MS Mincho" w:eastAsia="MS Mincho"/>
          <w:sz w:val="21"/>
        </w:rPr>
        <w:t>NEASIFは国際共同投資レイヤーですが、防衛そのものへの直接出資は遮断する設計です。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18．なぜ防衛案件ではなく民生インフラ案件だと言えるのか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投資対象をエネルギー基盤、半導体後工程、港湾・空港、計算基盤、国際共同投資事業に限定し、防衛装備取得を対象外としているためです。</w:t>
        <w:br/>
      </w:r>
      <w:r>
        <w:rPr>
          <w:rFonts w:ascii="MS Mincho" w:hAnsi="MS Mincho" w:eastAsia="MS Mincho"/>
          <w:sz w:val="21"/>
        </w:rPr>
        <w:t>したがって、制度上の主軸は民生インフラです。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19．PUE 1.09 達成の技術的根拠はあるのか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現時点では政策説明上の比較指標として整理しており、提出版では公式資料・実績値ベースで再検証する前提です。</w:t>
        <w:br/>
      </w:r>
      <w:r>
        <w:rPr>
          <w:rFonts w:ascii="MS Mincho" w:hAnsi="MS Mincho" w:eastAsia="MS Mincho"/>
          <w:sz w:val="21"/>
        </w:rPr>
        <w:t>財務省向けには、PUE個別値そのものより、冷却条件改善による電力コスト低減余地と、その再投資ロジックを主に説明する方が適切です。</w:t>
      </w:r>
    </w:p>
    <w:p>
      <w:pPr>
        <w:spacing w:before="160" w:after="40"/>
        <w:keepNext/>
      </w:pPr>
      <w:r>
        <w:rPr>
          <w:rFonts w:ascii="MS Gothic" w:hAnsi="MS Gothic" w:eastAsia="MS Gothic"/>
          <w:b/>
          <w:sz w:val="23"/>
        </w:rPr>
        <w:t>20．KPI未達時に本当に止められるのか</w:t>
      </w:r>
    </w:p>
    <w:p>
      <w:pPr>
        <w:ind w:left="227"/>
      </w:pPr>
      <w:r>
        <w:rPr>
          <w:rFonts w:ascii="MS Mincho" w:hAnsi="MS Mincho" w:eastAsia="MS Mincho"/>
          <w:b/>
          <w:sz w:val="21"/>
        </w:rPr>
        <w:t>回答</w:t>
        <w:br/>
      </w:r>
      <w:r>
        <w:rPr>
          <w:rFonts w:ascii="MS Mincho" w:hAnsi="MS Mincho" w:eastAsia="MS Mincho"/>
          <w:sz w:val="21"/>
        </w:rPr>
        <w:t>止めるためにこそ、時限、レビュー、停止条項、対象限定、残余財産の一般会計帰属までを制度化しています。</w:t>
        <w:br/>
      </w:r>
      <w:r>
        <w:rPr>
          <w:rFonts w:ascii="MS Mincho" w:hAnsi="MS Mincho" w:eastAsia="MS Mincho"/>
          <w:sz w:val="21"/>
        </w:rPr>
        <w:t>本構想は、始める理屈だけでなく、止める仕組みと閉じる仕組みを事前に明示することで、財政規律を担保する設計です。</w:t>
      </w:r>
    </w:p>
    <w:p>
      <w:pPr>
        <w:spacing w:before="240"/>
      </w:pPr>
      <w:r>
        <w:rPr>
          <w:rFonts w:ascii="MS Mincho" w:hAnsi="MS Mincho" w:eastAsia="MS Mincho"/>
          <w:sz w:val="17"/>
        </w:rPr>
        <w:t>注）本資料は説明用整理案であり、記載内容は今後、公表統計、政府資料その他の公式値に基づき再検証を行う前提である。</w:t>
      </w:r>
    </w:p>
    <w:sectPr w:rsidR="00FC693F" w:rsidRPr="0006063C" w:rsidSect="00034616">
      <w:pgSz w:w="12240" w:h="15840"/>
      <w:pgMar w:top="1417" w:right="1531" w:bottom="1417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S Mincho" w:hAnsi="MS Mincho" w:eastAsia="MS Mincho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