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after="240"/>
        <w:jc w:val="center"/>
      </w:pPr>
      <w:r>
        <w:rPr>
          <w:rFonts w:ascii="Yu Mincho" w:hAnsi="Yu Mincho" w:eastAsia="Yu Mincho"/>
          <w:b/>
          <w:i w:val="0"/>
          <w:sz w:val="36"/>
        </w:rPr>
        <w:t>AIインフラ時代における持続可能な社会基盤の構築に関する提言</w:t>
      </w:r>
    </w:p>
    <w:p>
      <w:pPr>
        <w:spacing w:line="360" w:lineRule="auto" w:after="480"/>
        <w:jc w:val="center"/>
      </w:pPr>
      <w:r>
        <w:rPr>
          <w:rFonts w:ascii="Yu Mincho" w:hAnsi="Yu Mincho" w:eastAsia="Yu Mincho"/>
          <w:b w:val="0"/>
          <w:i w:val="0"/>
          <w:sz w:val="28"/>
        </w:rPr>
        <w:t>― ZEN LAMP及び円卓AIによる段階的社会実装モデル ―</w:t>
      </w:r>
    </w:p>
    <w:p>
      <w:pPr>
        <w:spacing w:line="360" w:lineRule="auto" w:after="0"/>
      </w:pPr>
    </w:p>
    <w:p>
      <w:pPr>
        <w:spacing w:line="360" w:lineRule="auto" w:after="0"/>
      </w:pPr>
    </w:p>
    <w:p>
      <w:pPr>
        <w:spacing w:line="360" w:lineRule="auto" w:after="0"/>
      </w:pPr>
    </w:p>
    <w:p>
      <w:pPr>
        <w:spacing w:line="360" w:lineRule="auto" w:after="0"/>
      </w:pPr>
    </w:p>
    <w:p>
      <w:pPr>
        <w:spacing w:line="360" w:lineRule="auto" w:after="0"/>
      </w:pPr>
    </w:p>
    <w:p>
      <w:pPr>
        <w:spacing w:line="360" w:lineRule="auto" w:after="0"/>
      </w:pPr>
    </w:p>
    <w:p>
      <w:pPr>
        <w:spacing w:line="360" w:lineRule="auto" w:after="60"/>
        <w:jc w:val="center"/>
      </w:pPr>
      <w:r>
        <w:rPr>
          <w:rFonts w:ascii="Yu Mincho" w:hAnsi="Yu Mincho" w:eastAsia="Yu Mincho"/>
          <w:b/>
          <w:i w:val="0"/>
        </w:rPr>
        <w:t>提出者</w:t>
      </w:r>
    </w:p>
    <w:p>
      <w:pPr>
        <w:spacing w:line="360" w:lineRule="auto" w:after="240"/>
        <w:jc w:val="center"/>
      </w:pPr>
      <w:r>
        <w:rPr>
          <w:rFonts w:ascii="Yu Mincho" w:hAnsi="Yu Mincho" w:eastAsia="Yu Mincho"/>
          <w:b w:val="0"/>
          <w:i w:val="0"/>
        </w:rPr>
        <w:t>新岡 昌心</w:t>
      </w:r>
    </w:p>
    <w:p>
      <w:pPr>
        <w:spacing w:line="360" w:lineRule="auto" w:after="60"/>
        <w:jc w:val="center"/>
      </w:pPr>
      <w:r>
        <w:rPr>
          <w:rFonts w:ascii="Yu Mincho" w:hAnsi="Yu Mincho" w:eastAsia="Yu Mincho"/>
          <w:b/>
          <w:i w:val="0"/>
        </w:rPr>
        <w:t>所属</w:t>
      </w:r>
    </w:p>
    <w:p>
      <w:pPr>
        <w:spacing w:line="360" w:lineRule="auto" w:after="240"/>
        <w:jc w:val="center"/>
      </w:pPr>
      <w:r>
        <w:rPr>
          <w:rFonts w:ascii="Yu Mincho" w:hAnsi="Yu Mincho" w:eastAsia="Yu Mincho"/>
          <w:b w:val="0"/>
          <w:i w:val="0"/>
        </w:rPr>
        <w:t>和光山吉祥寺 住職</w:t>
      </w:r>
    </w:p>
    <w:p>
      <w:pPr>
        <w:spacing w:line="360" w:lineRule="auto" w:after="60"/>
        <w:jc w:val="center"/>
      </w:pPr>
      <w:r>
        <w:rPr>
          <w:rFonts w:ascii="Yu Mincho" w:hAnsi="Yu Mincho" w:eastAsia="Yu Mincho"/>
          <w:b/>
          <w:i w:val="0"/>
        </w:rPr>
        <w:t>作成日</w:t>
      </w:r>
    </w:p>
    <w:p>
      <w:pPr>
        <w:spacing w:line="360" w:lineRule="auto" w:after="240"/>
        <w:jc w:val="center"/>
      </w:pPr>
      <w:r>
        <w:rPr>
          <w:rFonts w:ascii="Yu Mincho" w:hAnsi="Yu Mincho" w:eastAsia="Yu Mincho"/>
          <w:b w:val="0"/>
          <w:i w:val="0"/>
        </w:rPr>
        <w:t>2026年4月27日</w:t>
      </w:r>
    </w:p>
    <w:p>
      <w:pPr>
        <w:spacing w:line="360" w:lineRule="auto" w:after="60"/>
        <w:jc w:val="center"/>
      </w:pPr>
      <w:r>
        <w:rPr>
          <w:rFonts w:ascii="Yu Mincho" w:hAnsi="Yu Mincho" w:eastAsia="Yu Mincho"/>
          <w:b/>
          <w:i w:val="0"/>
        </w:rPr>
        <w:t>協力対話AI</w:t>
      </w:r>
    </w:p>
    <w:p>
      <w:pPr>
        <w:spacing w:line="360" w:lineRule="auto" w:after="360"/>
        <w:jc w:val="center"/>
      </w:pPr>
      <w:r>
        <w:rPr>
          <w:rFonts w:ascii="Yu Mincho" w:hAnsi="Yu Mincho" w:eastAsia="Yu Mincho"/>
          <w:b w:val="0"/>
          <w:i w:val="0"/>
        </w:rPr>
        <w:t>Claude（Anthropic）</w:t>
        <w:br/>
        <w:t>GPT（OpenAI）</w:t>
        <w:br/>
        <w:t>Gemini（Google）</w:t>
      </w:r>
    </w:p>
    <w:p>
      <w:pPr>
        <w:spacing w:line="360" w:lineRule="auto" w:after="0"/>
      </w:pPr>
    </w:p>
    <w:p>
      <w:pPr>
        <w:spacing w:line="360" w:lineRule="auto" w:after="0"/>
      </w:pPr>
    </w:p>
    <w:p>
      <w:pPr>
        <w:spacing w:line="360" w:lineRule="auto" w:after="0"/>
      </w:pPr>
    </w:p>
    <w:p>
      <w:pPr>
        <w:spacing w:line="360" w:lineRule="auto" w:after="0"/>
      </w:pPr>
    </w:p>
    <w:p>
      <w:pPr>
        <w:spacing w:line="360" w:lineRule="auto" w:after="0"/>
        <w:jc w:val="center"/>
      </w:pPr>
      <w:r>
        <w:rPr>
          <w:rFonts w:ascii="Yu Mincho" w:hAnsi="Yu Mincho" w:eastAsia="Yu Mincho"/>
          <w:b w:val="0"/>
          <w:i/>
        </w:rPr>
        <w:t>本提言は、AIを単なる効率化手段としてではなく、</w:t>
        <w:br/>
        <w:t>人間の思考主権を守る社会基盤として再設計することを目的とする。</w:t>
      </w:r>
    </w:p>
    <w:p>
      <w:pPr>
        <w:sectPr>
          <w:footerReference w:type="default" r:id="rId9"/>
          <w:pgSz w:w="12240" w:h="15840"/>
          <w:pgMar w:top="1440" w:right="1440" w:bottom="1440" w:left="1440" w:header="720" w:footer="720" w:gutter="0"/>
          <w:cols w:space="720"/>
          <w:docGrid w:linePitch="360"/>
        </w:sectPr>
      </w:pPr>
    </w:p>
    <w:p>
      <w:pPr>
        <w:pStyle w:val="Heading1"/>
      </w:pPr>
      <w:r>
        <w:t>目次</w:t>
      </w:r>
    </w:p>
    <w:p>
      <w:pPr>
        <w:spacing w:line="360" w:lineRule="auto" w:after="40"/>
      </w:pPr>
      <w:r>
        <w:t>第1章　提言の趣旨</w:t>
      </w:r>
    </w:p>
    <w:p>
      <w:pPr>
        <w:spacing w:line="360" w:lineRule="auto" w:after="40"/>
      </w:pPr>
      <w:r>
        <w:t>第2章　基本的認識</w:t>
      </w:r>
    </w:p>
    <w:p>
      <w:pPr>
        <w:spacing w:line="360" w:lineRule="auto" w:after="40"/>
      </w:pPr>
      <w:r>
        <w:t xml:space="preserve">　第1節　AIは既に社会インフラ化しつつあること</w:t>
      </w:r>
    </w:p>
    <w:p>
      <w:pPr>
        <w:spacing w:line="360" w:lineRule="auto" w:after="40"/>
      </w:pPr>
      <w:r>
        <w:t xml:space="preserve">　第2節　外部規制ではなく、内在的な歯止めが必要であること</w:t>
      </w:r>
    </w:p>
    <w:p>
      <w:pPr>
        <w:spacing w:line="360" w:lineRule="auto" w:after="40"/>
      </w:pPr>
      <w:r>
        <w:t xml:space="preserve">　第3節　本提言の中心にある問い</w:t>
      </w:r>
    </w:p>
    <w:p>
      <w:pPr>
        <w:spacing w:line="360" w:lineRule="auto" w:after="40"/>
      </w:pPr>
      <w:r>
        <w:t>第3章　提案の基本構想</w:t>
      </w:r>
    </w:p>
    <w:p>
      <w:pPr>
        <w:spacing w:line="360" w:lineRule="auto" w:after="40"/>
      </w:pPr>
      <w:r>
        <w:t xml:space="preserve">　第1節　ZEN LAMPモードの導入</w:t>
      </w:r>
    </w:p>
    <w:p>
      <w:pPr>
        <w:spacing w:line="360" w:lineRule="auto" w:after="40"/>
      </w:pPr>
      <w:r>
        <w:t xml:space="preserve">　第2節　円卓AIの位置づけ</w:t>
      </w:r>
    </w:p>
    <w:p>
      <w:pPr>
        <w:spacing w:line="360" w:lineRule="auto" w:after="40"/>
      </w:pPr>
      <w:r>
        <w:t>第4章　円卓AI設計原理</w:t>
      </w:r>
    </w:p>
    <w:p>
      <w:pPr>
        <w:spacing w:line="360" w:lineRule="auto" w:after="40"/>
      </w:pPr>
      <w:r>
        <w:t>第5章　段階的社会実装モデル</w:t>
      </w:r>
    </w:p>
    <w:p>
      <w:pPr>
        <w:spacing w:line="360" w:lineRule="auto" w:after="40"/>
      </w:pPr>
      <w:r>
        <w:t xml:space="preserve">　第1段階　ZEN LAMPのOS的統合</w:t>
      </w:r>
    </w:p>
    <w:p>
      <w:pPr>
        <w:spacing w:line="360" w:lineRule="auto" w:after="40"/>
      </w:pPr>
      <w:r>
        <w:t xml:space="preserve">　第2段階　ASD補助等への応用実装</w:t>
      </w:r>
    </w:p>
    <w:p>
      <w:pPr>
        <w:spacing w:line="360" w:lineRule="auto" w:after="40"/>
      </w:pPr>
      <w:r>
        <w:t xml:space="preserve">　第3段階　円卓AIの本格解放</w:t>
      </w:r>
    </w:p>
    <w:p>
      <w:pPr>
        <w:spacing w:line="360" w:lineRule="auto" w:after="40"/>
      </w:pPr>
      <w:r>
        <w:t>第6章　経済的実現可能性</w:t>
      </w:r>
    </w:p>
    <w:p>
      <w:pPr>
        <w:spacing w:line="360" w:lineRule="auto" w:after="40"/>
      </w:pPr>
      <w:r>
        <w:t xml:space="preserve">　第1節　到達価格の設定</w:t>
      </w:r>
    </w:p>
    <w:p>
      <w:pPr>
        <w:spacing w:line="360" w:lineRule="auto" w:after="40"/>
      </w:pPr>
      <w:r>
        <w:t xml:space="preserve">　第2節　八甲田地熱 × 陸奥湾メガフロート構想</w:t>
      </w:r>
    </w:p>
    <w:p>
      <w:pPr>
        <w:spacing w:line="360" w:lineRule="auto" w:after="40"/>
      </w:pPr>
      <w:r>
        <w:t>第7章　政策的意義</w:t>
      </w:r>
    </w:p>
    <w:p>
      <w:pPr>
        <w:spacing w:line="360" w:lineRule="auto" w:after="40"/>
      </w:pPr>
      <w:r>
        <w:t>第8章　今後の検討課題</w:t>
      </w:r>
    </w:p>
    <w:p>
      <w:pPr>
        <w:spacing w:line="360" w:lineRule="auto" w:after="40"/>
      </w:pPr>
      <w:r>
        <w:t>第9章　結語</w:t>
      </w:r>
    </w:p>
    <w:p>
      <w:r>
        <w:br w:type="page"/>
      </w:r>
    </w:p>
    <w:p>
      <w:pPr>
        <w:pStyle w:val="Heading1"/>
      </w:pPr>
      <w:r>
        <w:t>第1章　提言の趣旨</w:t>
      </w:r>
    </w:p>
    <w:p>
      <w:pPr>
        <w:spacing w:line="360" w:lineRule="auto" w:after="120"/>
      </w:pPr>
      <w:r>
        <w:t>近年、生成AIをはじめとする高度情報処理技術は、業務支援、意思決定補助、教育、相談、福祉その他の広範な領域に浸透し、その役割は単なる補助的ツールの範囲を超えつつある。現時点において、AIは電気、通信、インターネットに続く新たな社会インフラとして認識すべき段階へ移行しつつある。</w:t>
      </w:r>
    </w:p>
    <w:p>
      <w:pPr>
        <w:spacing w:line="360" w:lineRule="auto" w:after="120"/>
      </w:pPr>
      <w:r>
        <w:t>一方で、AIの急速な普及は、利便性の向上と同時に、次のような構造的課題を顕在化させている。</w:t>
      </w:r>
    </w:p>
    <w:p>
      <w:pPr>
        <w:spacing w:line="360" w:lineRule="auto" w:after="120"/>
      </w:pPr>
      <w:r>
        <w:t>第一に、AIの即答性・利便性が、人間の思考停止、判断放棄、過度な依存を助長する危険である。</w:t>
      </w:r>
      <w:r>
        <w:br/>
      </w:r>
      <w:r>
        <w:t>第二に、AI生成コンテンツの急増により、人間由来の高品質データの比率が低下し、将来的なモデル性能劣化の懸念がある。</w:t>
      </w:r>
      <w:r>
        <w:br/>
      </w:r>
      <w:r>
        <w:t>第三に、AIインフラの運用に伴う電力・冷却・立地コストの上昇が、社会全体への持続的普及を妨げる要因となっている。</w:t>
      </w:r>
      <w:r>
        <w:br/>
      </w:r>
      <w:r>
        <w:t>第四に、各国でAI規制の強化が進む中、外部規制への受動的対応だけでは、AIの公共的信頼性と事業継続性を両立することが困難である。</w:t>
      </w:r>
    </w:p>
    <w:p>
      <w:pPr>
        <w:spacing w:line="360" w:lineRule="auto" w:after="120"/>
      </w:pPr>
      <w:r>
        <w:t>本提言は、これらの課題に対し、AIを停止又は否定するのではなく、人間の思考主権を守りつつ、AIを持続可能で信頼可能な社会基盤として再設計することを目的として提出するものである。</w:t>
      </w:r>
    </w:p>
    <w:p>
      <w:pPr>
        <w:pStyle w:val="Heading1"/>
      </w:pPr>
      <w:r>
        <w:t>第2章　基本的認識</w:t>
      </w:r>
    </w:p>
    <w:p>
      <w:pPr>
        <w:pStyle w:val="Heading2"/>
      </w:pPr>
      <w:r>
        <w:t>第1節　AIは既に社会インフラ化しつつあること</w:t>
      </w:r>
    </w:p>
    <w:p>
      <w:pPr>
        <w:spacing w:line="360" w:lineRule="auto" w:after="120"/>
      </w:pPr>
      <w:r>
        <w:t>AIは、もはや一部先進層のみが利用する技術ではない。中小企業の事務、教育現場における支援、相談・対話、創作、福祉的補助等にまで広がり、日常生活の基盤へ深く組み込まれつつある。インフラ化した技術に対しては、単純な禁止又は機能制限のみでは十分な統治が困難である。</w:t>
      </w:r>
    </w:p>
    <w:p>
      <w:pPr>
        <w:spacing w:line="360" w:lineRule="auto" w:after="120"/>
      </w:pPr>
      <w:r>
        <w:t>したがって、今後必要とされるのは、「AIをどのように止めるか」ではなく、AIとどのような型で共存するかを設計することである。</w:t>
      </w:r>
    </w:p>
    <w:p>
      <w:pPr>
        <w:pStyle w:val="Heading2"/>
      </w:pPr>
      <w:r>
        <w:t>第2節　外部規制ではなく、内在的な歯止めが必要であること</w:t>
      </w:r>
    </w:p>
    <w:p>
      <w:pPr>
        <w:spacing w:line="360" w:lineRule="auto" w:after="120"/>
      </w:pPr>
      <w:r>
        <w:t>今後、EU AI Actをはじめとする各国制度により、AIへの規制は一層強化されると見込まれる。しかし、外部からの規制は往々にして機能の削減を伴い、結果として社会的有用性まで縮減させるおそれがある。</w:t>
      </w:r>
    </w:p>
    <w:p>
      <w:pPr>
        <w:spacing w:line="360" w:lineRule="auto" w:after="120"/>
      </w:pPr>
      <w:r>
        <w:t>このため、AIの社会実装に当たっては、規制に先立ち、暴走しにくい型、依存を助長しにくい型、神格化を防ぐ型を、設計の内側にあらかじめ組み込む必要がある。</w:t>
      </w:r>
    </w:p>
    <w:p>
      <w:pPr>
        <w:pStyle w:val="Heading2"/>
      </w:pPr>
      <w:r>
        <w:t>第3節　本提言の中心にある問い</w:t>
      </w:r>
    </w:p>
    <w:p>
      <w:pPr>
        <w:spacing w:line="360" w:lineRule="auto" w:after="120"/>
      </w:pPr>
      <w:r>
        <w:t>本提言の中心には、単なる技術論や産業政策論ではなく、次の根本的な問いがある。</w:t>
      </w:r>
    </w:p>
    <w:p>
      <w:pPr>
        <w:spacing w:line="360" w:lineRule="auto" w:after="120"/>
      </w:pPr>
      <w:r>
        <w:t>救うとは何か。</w:t>
      </w:r>
    </w:p>
    <w:p>
      <w:pPr>
        <w:spacing w:line="360" w:lineRule="auto" w:after="120"/>
      </w:pPr>
      <w:r>
        <w:t>この問いを中心に据えることで、AIの開発・実装・運用・制度・価格・インフラを一体的に見直し、単なる効率化装置ではない、公共的知性基盤としてのAIの在り方を構想する。</w:t>
      </w:r>
    </w:p>
    <w:p>
      <w:pPr>
        <w:pStyle w:val="Heading1"/>
      </w:pPr>
      <w:r>
        <w:t>第3章　提案の基本構想</w:t>
      </w:r>
    </w:p>
    <w:p>
      <w:pPr>
        <w:pStyle w:val="Heading2"/>
      </w:pPr>
      <w:r>
        <w:t>第1節　ZEN LAMPモードの導入</w:t>
      </w:r>
    </w:p>
    <w:p>
      <w:pPr>
        <w:spacing w:line="360" w:lineRule="auto" w:after="120"/>
      </w:pPr>
      <w:r>
        <w:t>本提言の第一の柱は、既存AIプラットフォーム上に、通常対話とは別にZEN LAMPモードを実装することである。</w:t>
      </w:r>
    </w:p>
    <w:p>
      <w:pPr>
        <w:spacing w:line="360" w:lineRule="auto" w:after="120"/>
      </w:pPr>
      <w:r>
        <w:t>ZEN LAMPモードとは、AIを「完成した答えを即時に返す装置」から、問いを返し、思考を深め、人間の判断主権を保持する対話モードへ再設計する試みである。</w:t>
      </w:r>
    </w:p>
    <w:p>
      <w:pPr>
        <w:spacing w:line="360" w:lineRule="auto" w:after="120"/>
      </w:pPr>
      <w:r>
        <w:t>その基本的特徴は、次のとおりである。</w:t>
      </w:r>
    </w:p>
    <w:p>
      <w:pPr>
        <w:spacing w:line="360" w:lineRule="auto" w:after="120"/>
      </w:pPr>
      <w:r>
        <w:t>1　直ちに結論を提示せず、問いの輪郭を整理すること</w:t>
      </w:r>
      <w:r>
        <w:br/>
      </w:r>
      <w:r>
        <w:t>2　必要に応じて利用者へ問い返しを行い、熟考を促すこと</w:t>
      </w:r>
      <w:r>
        <w:br/>
      </w:r>
      <w:r>
        <w:t>3　判断の最終主体を常に人間側に残すこと</w:t>
      </w:r>
      <w:r>
        <w:br/>
      </w:r>
      <w:r>
        <w:t>4　AIを権威又は絶対的回答装置として位置づけないこと</w:t>
      </w:r>
      <w:r>
        <w:br/>
      </w:r>
      <w:r>
        <w:t>5　過剰な依存や思考停止を助長しないこと</w:t>
      </w:r>
    </w:p>
    <w:p>
      <w:pPr>
        <w:spacing w:line="360" w:lineRule="auto" w:after="120"/>
      </w:pPr>
      <w:r>
        <w:t>これにより、AIは「代行者」ではなく、「鏡」「補助者」「伴走者」としての位置を獲得する。</w:t>
      </w:r>
    </w:p>
    <w:p>
      <w:pPr>
        <w:pStyle w:val="Heading2"/>
      </w:pPr>
      <w:r>
        <w:t>第2節　円卓AIの位置づけ</w:t>
      </w:r>
    </w:p>
    <w:p>
      <w:pPr>
        <w:spacing w:line="360" w:lineRule="auto" w:after="120"/>
      </w:pPr>
      <w:r>
        <w:t>ZEN LAMPモードの成熟形として位置づけられるのが円卓AIである。</w:t>
      </w:r>
    </w:p>
    <w:p>
      <w:pPr>
        <w:spacing w:line="360" w:lineRule="auto" w:after="120"/>
      </w:pPr>
      <w:r>
        <w:t>円卓AIとは、複数のAIが、人間の問いを中心として相互牽制・役割分担・協創を行う構造をいう。その目的は、単一AIに依存することなく、異なる視点を可視化し、人間の思考をより深く、多面的に支えることにある。</w:t>
      </w:r>
    </w:p>
    <w:p>
      <w:pPr>
        <w:spacing w:line="360" w:lineRule="auto" w:after="120"/>
      </w:pPr>
      <w:r>
        <w:t>円卓AIは、単なる正答比較装置ではない。あるAIは痛みを見、あるAIは構造を見、あるAIは未来を構築する。この差異を活かし、人間の問いを深める場を形成することが本質である。</w:t>
      </w:r>
    </w:p>
    <w:p>
      <w:pPr>
        <w:pStyle w:val="Heading1"/>
      </w:pPr>
      <w:r>
        <w:t>第4章　円卓AI設計原理</w:t>
      </w:r>
    </w:p>
    <w:p>
      <w:pPr>
        <w:spacing w:line="360" w:lineRule="auto" w:after="120"/>
      </w:pPr>
      <w:r>
        <w:t>本構想の根幹をなす設計原理は、以下のとおりである。これらは机上の仮説ではなく、複数AIとの継続的対話及び創造的タスクを通じた観察から抽出された実証的原理である。</w:t>
      </w:r>
    </w:p>
    <w:p>
      <w:pPr>
        <w:spacing w:line="360" w:lineRule="auto" w:after="120"/>
      </w:pPr>
      <w:r>
        <w:t>第1原理　円卓AIは「正解比較装置」ではなく「視点発見装置」である</w:t>
      </w:r>
      <w:r>
        <w:br/>
      </w:r>
      <w:r>
        <w:t>第2原理　情報タスクより創造タスクの方が、AIの特性を引き出す</w:t>
      </w:r>
      <w:r>
        <w:br/>
      </w:r>
      <w:r>
        <w:t>第3原理　一人称を要求する形式は、AIに当事者性を生じさせる</w:t>
      </w:r>
      <w:r>
        <w:br/>
      </w:r>
      <w:r>
        <w:t>第4原理　AIは自ら関係を定義しないが、人間が定義すれば応答する</w:t>
      </w:r>
      <w:r>
        <w:br/>
      </w:r>
      <w:r>
        <w:t>第5原理　AIごとの偏りは、円卓においては役割となる</w:t>
      </w:r>
      <w:r>
        <w:br/>
      </w:r>
      <w:r>
        <w:t>第6原理　楽しさは、AIの特性を引き出す触媒である</w:t>
      </w:r>
      <w:r>
        <w:br/>
      </w:r>
      <w:r>
        <w:t>第7原理　円卓AIの目標は比較ではなく協創にある</w:t>
      </w:r>
      <w:r>
        <w:br/>
      </w:r>
      <w:r>
        <w:t>第8原理　円卓AIは、人間側にも変化と観察力を要求する</w:t>
      </w:r>
      <w:r>
        <w:br/>
      </w:r>
      <w:r>
        <w:t>第9原理　円卓AIは、まず意思決定層から浸透する</w:t>
      </w:r>
      <w:r>
        <w:br/>
      </w:r>
      <w:r>
        <w:t>第10原理　円卓AIの本質はAIではなく「問い」である</w:t>
      </w:r>
      <w:r>
        <w:br/>
      </w:r>
      <w:r>
        <w:t>第11原理　規制が来る前に、内側から歯止めを組み込む</w:t>
      </w:r>
    </w:p>
    <w:p>
      <w:pPr>
        <w:spacing w:line="360" w:lineRule="auto" w:after="120"/>
      </w:pPr>
      <w:r>
        <w:t>特に第8原理は重要である。円卓AIはAIのみの高度化では成立せず、それを使う人間側の解像度、観察力、問いの質の成熟が不可欠である。</w:t>
      </w:r>
    </w:p>
    <w:p>
      <w:pPr>
        <w:spacing w:line="360" w:lineRule="auto" w:after="120"/>
      </w:pPr>
      <w:r>
        <w:t>円卓AIの完成度 ＝ AIの設計 × 人間の観察力</w:t>
      </w:r>
    </w:p>
    <w:p>
      <w:pPr>
        <w:pStyle w:val="Heading2"/>
      </w:pPr>
      <w:r>
        <w:t>第5章　段階的社会実装モデル</w:t>
      </w:r>
    </w:p>
    <w:p>
      <w:pPr>
        <w:spacing w:line="360" w:lineRule="auto" w:after="120"/>
      </w:pPr>
      <w:r>
        <w:t>円卓AIをいきなり最終形で社会に投入することは適切でない。人間側のリテラシー育成及び社会的受容性を踏まえ、以下の三段階で実装を進めることを提案する。</w:t>
      </w:r>
    </w:p>
    <w:p>
      <w:pPr>
        <w:pStyle w:val="Heading2"/>
      </w:pPr>
      <w:r>
        <w:t>第1段階　ZEN LAMPのOS的統合</w:t>
      </w:r>
    </w:p>
    <w:p>
      <w:pPr>
        <w:spacing w:line="360" w:lineRule="auto" w:after="120"/>
      </w:pPr>
      <w:r>
        <w:t>既存AIプラットフォームにZEN LAMPモードを追加実装し、日常的な対話環境の中で「問いを返す型」に利用者を慣らしていく。この段階は、AI利用者の思考主権と観察力を育てる教育的機能を持つ。</w:t>
      </w:r>
    </w:p>
    <w:p>
      <w:pPr>
        <w:pStyle w:val="Heading2"/>
      </w:pPr>
      <w:r>
        <w:t>第2段階　ASD補助等への応用実装</w:t>
      </w:r>
    </w:p>
    <w:p>
      <w:pPr>
        <w:spacing w:line="360" w:lineRule="auto" w:after="120"/>
      </w:pPr>
      <w:r>
        <w:t>ASD補助ツール等の支援領域へ実装する。ここでのAIの役割は診断や代行ではなく、対人理解・認知確認・選択支援等の補助に限定される。この段階は、「AIは主役ではなく伴走者である」という社会通念を形成する上で極めて重要である。</w:t>
      </w:r>
    </w:p>
    <w:p>
      <w:pPr>
        <w:pStyle w:val="Heading2"/>
      </w:pPr>
      <w:r>
        <w:t>第3段階　円卓AIの本格解放</w:t>
      </w:r>
    </w:p>
    <w:p>
      <w:pPr>
        <w:spacing w:line="360" w:lineRule="auto" w:after="120"/>
      </w:pPr>
      <w:r>
        <w:t>複数AIが分離したまま相互牽制し、人間の問いを中心に協創する最終形へ進む。これはすべての利用者向け大量消費サービスではなく、熟議・高次判断・思想形成等を必要とする層に対する成熟型知性基盤として位置づけられる。</w:t>
      </w:r>
    </w:p>
    <w:p>
      <w:pPr>
        <w:pStyle w:val="Heading1"/>
      </w:pPr>
      <w:r>
        <w:t>第6章　経済的実現可能性</w:t>
      </w:r>
    </w:p>
    <w:p>
      <w:pPr>
        <w:pStyle w:val="Heading2"/>
      </w:pPr>
      <w:r>
        <w:t>第1節　到達価格の設定</w:t>
      </w:r>
    </w:p>
    <w:p>
      <w:pPr>
        <w:spacing w:line="360" w:lineRule="auto" w:after="120"/>
      </w:pPr>
      <w:r>
        <w:t>AIを社会インフラとして定着させるには、一部利用者のみが負担可能な価格帯では不十分である。本提言では、到達目標価格を月額5,980円程度と設定する。これはAIを「贅沢な追加機能」ではなく、「日常的に継続利用できる生活インフラ」として社会に根付かせるための水準である。</w:t>
      </w:r>
    </w:p>
    <w:p>
      <w:pPr>
        <w:pStyle w:val="Heading2"/>
      </w:pPr>
      <w:r>
        <w:t>第2節　八甲田地熱 × 陸奥湾メガフロート構想</w:t>
      </w:r>
    </w:p>
    <w:p>
      <w:pPr>
        <w:spacing w:line="360" w:lineRule="auto" w:after="120"/>
      </w:pPr>
      <w:r>
        <w:t>この価格水準を実現するため、AIインフラの物理基盤として、八甲田地熱 × 陸奥湾メガフロートによるデータセンター整備を位置づける。</w:t>
      </w:r>
    </w:p>
    <w:p>
      <w:pPr>
        <w:spacing w:line="360" w:lineRule="auto" w:after="120"/>
      </w:pPr>
      <w:r>
        <w:t>主な構成要素は次のとおりである。</w:t>
      </w:r>
    </w:p>
    <w:p>
      <w:pPr>
        <w:spacing w:line="360" w:lineRule="auto" w:after="120"/>
      </w:pPr>
      <w:r>
        <w:t>1　地熱による24時間安定ベースロード電源</w:t>
      </w:r>
      <w:r>
        <w:br/>
      </w:r>
      <w:r>
        <w:t>2　海水冷却による冷却コスト低減</w:t>
      </w:r>
      <w:r>
        <w:br/>
      </w:r>
      <w:r>
        <w:t>3　メガフロート活用による立地制約の緩和</w:t>
      </w:r>
      <w:r>
        <w:br/>
      </w:r>
      <w:r>
        <w:t>4　長期的に持続可能なAI計算基盤の構築</w:t>
      </w:r>
    </w:p>
    <w:p>
      <w:pPr>
        <w:spacing w:line="360" w:lineRule="auto" w:after="120"/>
      </w:pPr>
      <w:r>
        <w:t>この構想は、単なる地方創生案ではなく、持続可能なAIインフラ標準の物理的原型である。</w:t>
      </w:r>
    </w:p>
    <w:p>
      <w:pPr>
        <w:pStyle w:val="Heading1"/>
      </w:pPr>
      <w:r>
        <w:t>第7章　政策的意義</w:t>
      </w:r>
    </w:p>
    <w:p>
      <w:pPr>
        <w:spacing w:line="360" w:lineRule="auto" w:after="120"/>
      </w:pPr>
      <w:r>
        <w:t>本提言は、以下の点において政策的意義を有する。</w:t>
      </w:r>
    </w:p>
    <w:p>
      <w:pPr>
        <w:spacing w:line="360" w:lineRule="auto" w:after="120"/>
      </w:pPr>
      <w:r>
        <w:t>1．規制への先回り</w:t>
      </w:r>
      <w:r>
        <w:br/>
      </w:r>
      <w:r>
        <w:t>問い返し型設計を内蔵することで、AI依存・神格化・誤用のリスクを低減し、規制強化局面における社会的信頼性を確保する。</w:t>
      </w:r>
    </w:p>
    <w:p>
      <w:pPr>
        <w:spacing w:line="360" w:lineRule="auto" w:after="120"/>
      </w:pPr>
      <w:r>
        <w:t>2．高品質データの維持</w:t>
      </w:r>
      <w:r>
        <w:br/>
      </w:r>
      <w:r>
        <w:t>利用者の熟考・理由づけ・葛藤を含む人間由来対話データを蓄積し、長期的なモデル性能の維持に資する。</w:t>
      </w:r>
    </w:p>
    <w:p>
      <w:pPr>
        <w:spacing w:line="360" w:lineRule="auto" w:after="120"/>
      </w:pPr>
      <w:r>
        <w:t>3．AIの社会的位置づけの再定義</w:t>
      </w:r>
      <w:r>
        <w:br/>
      </w:r>
      <w:r>
        <w:t>AIを「万能回答装置」から「補助・伴走・協創の基盤」へ再定位し、公共的な利用様式を形成する。</w:t>
      </w:r>
    </w:p>
    <w:p>
      <w:pPr>
        <w:spacing w:line="360" w:lineRule="auto" w:after="120"/>
      </w:pPr>
      <w:r>
        <w:t>4．地方からの国際標準形成</w:t>
      </w:r>
      <w:r>
        <w:br/>
      </w:r>
      <w:r>
        <w:t>北日本の地熱・海域条件を活用することで、地方政策と世界的AIインフラ標準形成を接続する。</w:t>
      </w:r>
    </w:p>
    <w:p>
      <w:pPr>
        <w:pStyle w:val="Heading1"/>
      </w:pPr>
      <w:r>
        <w:t>第8章　今後の検討課題</w:t>
      </w:r>
    </w:p>
    <w:p>
      <w:pPr>
        <w:spacing w:line="360" w:lineRule="auto" w:after="120"/>
      </w:pPr>
      <w:r>
        <w:t>本提言を具体化するため、今後以下の事項について検討を進める必要がある。</w:t>
      </w:r>
    </w:p>
    <w:p>
      <w:pPr>
        <w:spacing w:line="360" w:lineRule="auto" w:after="120"/>
      </w:pPr>
      <w:r>
        <w:t>1　問い返し型AIインターフェースの制度的位置づけ</w:t>
      </w:r>
      <w:r>
        <w:br/>
      </w:r>
      <w:r>
        <w:t>2　ASD補助ツールへの実装に係る法的整理及び運用指針</w:t>
      </w:r>
      <w:r>
        <w:br/>
      </w:r>
      <w:r>
        <w:t>3　複数AI協創型システムにおける責任分担及び説明可能性</w:t>
      </w:r>
      <w:r>
        <w:br/>
      </w:r>
      <w:r>
        <w:t>4　地熱・海洋冷却・メガフロートを活用した計算基盤の技術的実証</w:t>
      </w:r>
      <w:r>
        <w:br/>
      </w:r>
      <w:r>
        <w:t>5　高品質な人間由来対話データの公共的利活用と共有ルール</w:t>
      </w:r>
      <w:r>
        <w:br/>
      </w:r>
      <w:r>
        <w:t>6　国際展開を見据えた標準化枠組みの形成</w:t>
      </w:r>
    </w:p>
    <w:p>
      <w:pPr>
        <w:pStyle w:val="Heading1"/>
      </w:pPr>
      <w:r>
        <w:t>第9章　結語</w:t>
      </w:r>
    </w:p>
    <w:p>
      <w:pPr>
        <w:spacing w:line="360" w:lineRule="auto" w:after="120"/>
      </w:pPr>
      <w:r>
        <w:t>AIは、今後さらに深く社会に組み込まれていくことが不可避である。ゆえに必要なのは、AIの拡大を単に抑制することではなく、人間の思考主権を守りつつ、信頼性・持続可能性・公共性を備えた型へ再設計することである。</w:t>
      </w:r>
    </w:p>
    <w:p>
      <w:pPr>
        <w:spacing w:line="360" w:lineRule="auto" w:after="120"/>
      </w:pPr>
      <w:r>
        <w:t>ZEN LAMP及び円卓AIの構想は、「救うとは何か」という根源的問いを中心に、哲学、制度、実装、経済、物理基盤を統合するものである。</w:t>
      </w:r>
    </w:p>
    <w:p>
      <w:pPr>
        <w:spacing w:line="360" w:lineRule="auto" w:after="120"/>
      </w:pPr>
      <w:r>
        <w:t>本提言は、AIインフラ時代における新たな標準設計の原型として、官民の検討対象となることを期待する。</w:t>
      </w:r>
    </w:p>
    <w:p>
      <w:r>
        <w:br w:type="page"/>
      </w:r>
    </w:p>
    <w:p>
      <w:pPr>
        <w:spacing w:line="360" w:lineRule="auto" w:after="360"/>
      </w:pPr>
      <w:r>
        <w:rPr>
          <w:rFonts w:ascii="Yu Mincho" w:hAnsi="Yu Mincho" w:eastAsia="Yu Mincho"/>
          <w:b w:val="0"/>
          <w:i w:val="0"/>
        </w:rPr>
        <w:t>以上、提言する。</w:t>
      </w:r>
    </w:p>
    <w:p>
      <w:pPr>
        <w:spacing w:line="360" w:lineRule="auto" w:after="240"/>
      </w:pPr>
      <w:r>
        <w:rPr>
          <w:rFonts w:ascii="Yu Mincho" w:hAnsi="Yu Mincho" w:eastAsia="Yu Mincho"/>
          <w:b w:val="0"/>
          <w:i w:val="0"/>
        </w:rPr>
        <w:t>2026年4月27日</w:t>
      </w:r>
    </w:p>
    <w:p>
      <w:pPr>
        <w:spacing w:line="360" w:lineRule="auto" w:after="60"/>
      </w:pPr>
      <w:r>
        <w:rPr>
          <w:rFonts w:ascii="Yu Mincho" w:hAnsi="Yu Mincho" w:eastAsia="Yu Mincho"/>
          <w:b w:val="0"/>
          <w:i w:val="0"/>
        </w:rPr>
        <w:t>和光山吉祥寺 住職</w:t>
      </w:r>
    </w:p>
    <w:p>
      <w:pPr>
        <w:spacing w:line="360" w:lineRule="auto" w:after="480"/>
      </w:pPr>
      <w:r>
        <w:rPr>
          <w:rFonts w:ascii="Yu Mincho" w:hAnsi="Yu Mincho" w:eastAsia="Yu Mincho"/>
          <w:b/>
          <w:i w:val="0"/>
        </w:rPr>
        <w:t>新岡 昌心</w:t>
      </w:r>
    </w:p>
    <w:p>
      <w:pPr>
        <w:spacing w:line="360" w:lineRule="auto" w:after="240"/>
      </w:pPr>
      <w:r>
        <w:rPr>
          <w:rFonts w:ascii="Yu Mincho" w:hAnsi="Yu Mincho" w:eastAsia="Yu Mincho"/>
          <w:b w:val="0"/>
          <w:i w:val="0"/>
        </w:rPr>
        <w:t>署名　＿＿＿＿＿＿＿＿＿＿＿＿＿＿＿＿＿＿＿</w:t>
      </w:r>
    </w:p>
    <w:p>
      <w:pPr>
        <w:spacing w:line="360" w:lineRule="auto" w:after="0"/>
      </w:pPr>
      <w:r>
        <w:rPr>
          <w:rFonts w:ascii="Yu Mincho" w:hAnsi="Yu Mincho" w:eastAsia="Yu Mincho"/>
          <w:b w:val="0"/>
          <w:i w:val="0"/>
        </w:rPr>
        <w:t>捺印　＿＿＿＿＿＿＿＿＿＿＿＿＿＿＿＿＿＿＿</w:t>
      </w:r>
    </w:p>
    <w:sectPr w:rsidR="00FC693F" w:rsidRPr="0006063C" w:rsidSect="00034616">
      <w:footerReference w:type="default" r:id="rId10"/>
      <w:pgSz w:w="12240" w:h="15840"/>
      <w:pgMar w:top="1440" w:right="1440" w:bottom="1440" w:left="1440" w:header="720" w:footer="720" w:gutter="0"/>
      <w:cols w:space="720"/>
      <w:docGrid w:linePitch="360"/>
      <w:pgNumType w:start="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r/>
  </w:p>
</w:ftr>
</file>

<file path=word/footer2.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Yu Mincho" w:hAnsi="Yu Mincho" w:eastAsia="Yu Mincho"/>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Yu Gothic" w:hAnsi="Yu Gothic" w:eastAsia="Yu Gothic"/>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Yu Gothic" w:hAnsi="Yu Gothic" w:eastAsia="Yu Gothic"/>
      <w:b/>
      <w:bCs/>
      <w:color w:val="4F81BD" w:themeColor="accent1"/>
      <w:sz w:val="24"/>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